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4D2EA6"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5C0259" w14:paraId="17085C3B" w14:textId="77777777" w:rsidTr="00643408">
        <w:trPr>
          <w:cantSplit/>
          <w:trHeight w:val="569"/>
        </w:trPr>
        <w:tc>
          <w:tcPr>
            <w:tcW w:w="3545" w:type="dxa"/>
            <w:shd w:val="clear" w:color="auto" w:fill="BFBFBF"/>
            <w:vAlign w:val="center"/>
          </w:tcPr>
          <w:p w14:paraId="5C2E3522" w14:textId="77777777" w:rsidR="00613EC1" w:rsidRPr="00D1305C" w:rsidRDefault="004D2EA6" w:rsidP="00643408">
            <w:pPr>
              <w:pStyle w:val="Heading2"/>
              <w:jc w:val="center"/>
            </w:pPr>
            <w:r>
              <w:t>Report of</w:t>
            </w:r>
          </w:p>
        </w:tc>
        <w:tc>
          <w:tcPr>
            <w:tcW w:w="4252" w:type="dxa"/>
            <w:shd w:val="clear" w:color="auto" w:fill="BFBFBF"/>
            <w:vAlign w:val="center"/>
          </w:tcPr>
          <w:p w14:paraId="73B94732" w14:textId="0510C8E0" w:rsidR="00613EC1" w:rsidRPr="00D1305C" w:rsidRDefault="004D2EA6" w:rsidP="00643408">
            <w:pPr>
              <w:pStyle w:val="Heading2"/>
              <w:jc w:val="center"/>
            </w:pPr>
            <w:r>
              <w:t>Meeting</w:t>
            </w:r>
          </w:p>
        </w:tc>
        <w:tc>
          <w:tcPr>
            <w:tcW w:w="2268" w:type="dxa"/>
            <w:shd w:val="clear" w:color="auto" w:fill="BFBFBF"/>
            <w:vAlign w:val="center"/>
          </w:tcPr>
          <w:p w14:paraId="25ED2DF2" w14:textId="77777777" w:rsidR="00613EC1" w:rsidRPr="00D1305C" w:rsidRDefault="004D2EA6" w:rsidP="00643408">
            <w:pPr>
              <w:pStyle w:val="Heading2"/>
              <w:jc w:val="center"/>
            </w:pPr>
            <w:r>
              <w:t>Date</w:t>
            </w:r>
          </w:p>
        </w:tc>
      </w:tr>
      <w:tr w:rsidR="005C0259"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19A8621B" w:rsidR="005E7794" w:rsidRPr="007637E9" w:rsidRDefault="004D2EA6" w:rsidP="006F27C3">
            <w:pPr>
              <w:spacing w:after="0"/>
              <w:jc w:val="center"/>
              <w:rPr>
                <w:rFonts w:ascii="Arial" w:eastAsia="Times New Roman" w:hAnsi="Arial" w:cs="Arial"/>
                <w:color w:val="000000" w:themeColor="text1"/>
                <w:kern w:val="36"/>
                <w:lang w:eastAsia="en-GB"/>
              </w:rPr>
            </w:pPr>
            <w:r>
              <w:t>Cabinet Member (Finance</w:t>
            </w:r>
            <w:r w:rsidR="00845A36">
              <w:t>, Assets</w:t>
            </w:r>
            <w:r>
              <w:t xml:space="preserve"> and Public Protection)</w:t>
            </w:r>
          </w:p>
        </w:tc>
        <w:tc>
          <w:tcPr>
            <w:tcW w:w="4252" w:type="dxa"/>
            <w:tcBorders>
              <w:bottom w:val="single" w:sz="4" w:space="0" w:color="auto"/>
            </w:tcBorders>
            <w:shd w:val="clear" w:color="auto" w:fill="auto"/>
            <w:vAlign w:val="center"/>
          </w:tcPr>
          <w:p w14:paraId="25D0C923" w14:textId="71470B0D" w:rsidR="00FB3074" w:rsidRDefault="004D2EA6"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Corporate, Performance and Budget Scrutiny Committee</w:t>
            </w:r>
            <w:r>
              <w:rPr>
                <w:rFonts w:ascii="Arial" w:eastAsia="Times New Roman" w:hAnsi="Arial" w:cs="Arial"/>
                <w:color w:val="000000" w:themeColor="text1"/>
                <w:kern w:val="36"/>
                <w:lang w:eastAsia="en-GB"/>
              </w:rPr>
              <w:fldChar w:fldCharType="end"/>
            </w:r>
          </w:p>
          <w:p w14:paraId="43AA6D97" w14:textId="2D2CB5B9"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4D2EA6"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Monday, 19 February 2024</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4D2EA6"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Finance and Public Protection Portfolio Update</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5C0259" w14:paraId="0AD96D7A" w14:textId="77777777" w:rsidTr="002F1805">
        <w:tc>
          <w:tcPr>
            <w:tcW w:w="4508" w:type="dxa"/>
          </w:tcPr>
          <w:p w14:paraId="74BA9174" w14:textId="377462C0" w:rsidR="00E75510" w:rsidRPr="00E75510" w:rsidRDefault="004D2EA6"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346B138A" w14:textId="32AEF911" w:rsidR="00E75510" w:rsidRPr="00E75510" w:rsidRDefault="004D2EA6" w:rsidP="00555CB5">
            <w:pPr>
              <w:rPr>
                <w:rFonts w:cstheme="minorHAnsi"/>
              </w:rPr>
            </w:pPr>
            <w:r w:rsidRPr="00E75510">
              <w:rPr>
                <w:rFonts w:eastAsia="Times New Roman" w:cstheme="minorHAnsi"/>
                <w:bCs/>
                <w:color w:val="000000" w:themeColor="text1"/>
                <w:kern w:val="36"/>
                <w:lang w:eastAsia="en-GB"/>
              </w:rPr>
              <w:t xml:space="preserve">No </w:t>
            </w: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5C0259" w14:paraId="79243691" w14:textId="77777777" w:rsidTr="002F1805">
        <w:tc>
          <w:tcPr>
            <w:tcW w:w="4513" w:type="dxa"/>
          </w:tcPr>
          <w:p w14:paraId="403AD24C" w14:textId="521BBEE5" w:rsidR="00E75510" w:rsidRPr="00E75510" w:rsidRDefault="004D2EA6"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09B9C76A" w14:textId="359F132A" w:rsidR="00E75510" w:rsidRPr="00E75510" w:rsidRDefault="004D2EA6" w:rsidP="00555CB5">
            <w:pPr>
              <w:rPr>
                <w:rFonts w:cstheme="minorHAnsi"/>
                <w:sz w:val="24"/>
                <w:szCs w:val="24"/>
              </w:rPr>
            </w:pPr>
            <w:r>
              <w:rPr>
                <w:rFonts w:eastAsia="Times New Roman" w:cstheme="minorHAnsi"/>
                <w:bCs/>
                <w:color w:val="000000" w:themeColor="text1"/>
                <w:kern w:val="36"/>
                <w:lang w:eastAsia="en-GB"/>
              </w:rPr>
              <w:t>Not applicable</w:t>
            </w:r>
          </w:p>
        </w:tc>
      </w:tr>
    </w:tbl>
    <w:p w14:paraId="1A6F3A77" w14:textId="3822A0A0" w:rsidR="00E75510" w:rsidRDefault="00E75510" w:rsidP="006B62C4">
      <w:pPr>
        <w:spacing w:after="0"/>
      </w:pPr>
    </w:p>
    <w:tbl>
      <w:tblPr>
        <w:tblStyle w:val="TableGrid"/>
        <w:tblW w:w="0" w:type="auto"/>
        <w:tblInd w:w="-5" w:type="dxa"/>
        <w:tblLook w:val="04A0" w:firstRow="1" w:lastRow="0" w:firstColumn="1" w:lastColumn="0" w:noHBand="0" w:noVBand="1"/>
      </w:tblPr>
      <w:tblGrid>
        <w:gridCol w:w="4513"/>
        <w:gridCol w:w="4508"/>
      </w:tblGrid>
      <w:tr w:rsidR="005C0259" w14:paraId="0C9B6162" w14:textId="77777777" w:rsidTr="002F1805">
        <w:tc>
          <w:tcPr>
            <w:tcW w:w="4513" w:type="dxa"/>
          </w:tcPr>
          <w:p w14:paraId="32FA744D" w14:textId="5A62D834" w:rsidR="00E75510" w:rsidRPr="00E75510" w:rsidRDefault="004D2EA6" w:rsidP="00E75510">
            <w:pPr>
              <w:pStyle w:val="Heading1"/>
              <w:spacing w:before="0" w:beforeAutospacing="0" w:after="0" w:afterAutospacing="0"/>
              <w:rPr>
                <w:rFonts w:asciiTheme="minorHAnsi" w:hAnsiTheme="minorHAnsi" w:cstheme="minorHAnsi"/>
                <w:b w:val="0"/>
                <w:bCs w:val="0"/>
                <w:color w:val="000000" w:themeColor="text1"/>
                <w:sz w:val="22"/>
                <w:szCs w:val="22"/>
              </w:rPr>
            </w:pPr>
            <w:r w:rsidRPr="00E75510">
              <w:rPr>
                <w:rFonts w:asciiTheme="minorHAnsi" w:hAnsiTheme="minorHAnsi" w:cstheme="minorHAnsi"/>
                <w:b w:val="0"/>
                <w:bCs w:val="0"/>
                <w:color w:val="000000" w:themeColor="text1"/>
                <w:sz w:val="22"/>
                <w:szCs w:val="22"/>
              </w:rPr>
              <w:t>Savings or expenditure amounting to greater than £100,000</w:t>
            </w:r>
          </w:p>
        </w:tc>
        <w:tc>
          <w:tcPr>
            <w:tcW w:w="4508" w:type="dxa"/>
          </w:tcPr>
          <w:p w14:paraId="4D4C8BC8" w14:textId="4BD5A3DF" w:rsidR="00E75510" w:rsidRPr="00E75510" w:rsidRDefault="004D2EA6" w:rsidP="00E75510">
            <w:pPr>
              <w:pStyle w:val="Heading1"/>
              <w:spacing w:before="0" w:beforeAutospacing="0" w:after="0" w:afterAutospacing="0"/>
              <w:rPr>
                <w:rFonts w:asciiTheme="minorHAnsi" w:hAnsiTheme="minorHAnsi" w:cstheme="minorHAnsi"/>
                <w:b w:val="0"/>
                <w:bCs w:val="0"/>
                <w:sz w:val="22"/>
                <w:szCs w:val="22"/>
              </w:rPr>
            </w:pPr>
            <w:r w:rsidRPr="00E75510">
              <w:rPr>
                <w:rFonts w:asciiTheme="minorHAnsi" w:hAnsiTheme="minorHAnsi" w:cstheme="minorHAnsi"/>
                <w:b w:val="0"/>
                <w:bCs w:val="0"/>
                <w:color w:val="000000" w:themeColor="text1"/>
                <w:sz w:val="22"/>
                <w:szCs w:val="22"/>
              </w:rPr>
              <w:t>Significant impact on 2 or more council wards</w:t>
            </w:r>
          </w:p>
        </w:tc>
      </w:tr>
    </w:tbl>
    <w:p w14:paraId="2378F936" w14:textId="77777777" w:rsidR="00E75510" w:rsidRDefault="00E75510" w:rsidP="006B62C4">
      <w:pPr>
        <w:spacing w:after="0"/>
      </w:pPr>
    </w:p>
    <w:p w14:paraId="6022D43D" w14:textId="0831C57B" w:rsidR="00D1305C" w:rsidRDefault="004D2EA6"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33504B3" w14:textId="3021B77B" w:rsidR="00D1305C" w:rsidRDefault="004D2EA6" w:rsidP="009C1604">
      <w:pPr>
        <w:numPr>
          <w:ilvl w:val="0"/>
          <w:numId w:val="8"/>
        </w:numPr>
        <w:spacing w:after="0" w:line="240" w:lineRule="auto"/>
        <w:ind w:left="567" w:hanging="567"/>
        <w:jc w:val="both"/>
        <w:rPr>
          <w:rFonts w:cstheme="minorHAnsi"/>
          <w:bCs/>
          <w:iCs/>
        </w:rPr>
      </w:pPr>
      <w:r>
        <w:rPr>
          <w:rFonts w:cstheme="minorHAnsi"/>
          <w:bCs/>
          <w:iCs/>
        </w:rPr>
        <w:t>To</w:t>
      </w:r>
      <w:r w:rsidR="001576AD" w:rsidRPr="003E3722">
        <w:rPr>
          <w:rFonts w:cstheme="minorHAnsi"/>
          <w:bCs/>
          <w:iCs/>
        </w:rPr>
        <w:t xml:space="preserve"> </w:t>
      </w:r>
      <w:r>
        <w:t>provide an update to the Scrutiny Committee on the work and performance of the Finance and Public Protection p</w:t>
      </w:r>
      <w:r w:rsidR="001576AD" w:rsidRPr="003E3722">
        <w:rPr>
          <w:rFonts w:cstheme="minorHAnsi"/>
          <w:bCs/>
          <w:iCs/>
        </w:rPr>
        <w:t>o</w:t>
      </w:r>
      <w:r>
        <w:rPr>
          <w:rFonts w:cstheme="minorHAnsi"/>
          <w:bCs/>
          <w:iCs/>
        </w:rPr>
        <w:t>rtfolio.</w:t>
      </w: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5C0259" w14:paraId="49565DB1" w14:textId="77777777" w:rsidTr="006B62C4">
        <w:trPr>
          <w:gridAfter w:val="1"/>
          <w:wAfter w:w="142" w:type="dxa"/>
        </w:trPr>
        <w:tc>
          <w:tcPr>
            <w:tcW w:w="9016" w:type="dxa"/>
            <w:gridSpan w:val="2"/>
          </w:tcPr>
          <w:p w14:paraId="1A2F0848" w14:textId="70F07B58" w:rsidR="008C37E1" w:rsidRDefault="004D2EA6" w:rsidP="006B62C4">
            <w:pPr>
              <w:pStyle w:val="Heading2"/>
            </w:pPr>
            <w:r w:rsidRPr="00A67766">
              <w:t>Recommendations</w:t>
            </w:r>
          </w:p>
          <w:p w14:paraId="68D8342C" w14:textId="77777777" w:rsidR="008C37E1" w:rsidRDefault="008C37E1" w:rsidP="006B62C4"/>
        </w:tc>
      </w:tr>
      <w:tr w:rsidR="005C0259" w14:paraId="0A492511" w14:textId="77777777" w:rsidTr="006B62C4">
        <w:trPr>
          <w:gridBefore w:val="1"/>
          <w:wBefore w:w="142" w:type="dxa"/>
        </w:trPr>
        <w:tc>
          <w:tcPr>
            <w:tcW w:w="9016" w:type="dxa"/>
            <w:gridSpan w:val="2"/>
          </w:tcPr>
          <w:p w14:paraId="115523C0" w14:textId="4060FFE6" w:rsidR="00E10BF8" w:rsidRPr="00E10BF8" w:rsidRDefault="004D2EA6" w:rsidP="00A67766">
            <w:pPr>
              <w:numPr>
                <w:ilvl w:val="0"/>
                <w:numId w:val="9"/>
              </w:numPr>
              <w:ind w:left="459" w:hanging="567"/>
              <w:rPr>
                <w:rFonts w:cstheme="minorHAnsi"/>
                <w:bCs/>
                <w:iCs/>
              </w:rPr>
            </w:pPr>
            <w:r>
              <w:rPr>
                <w:rFonts w:cstheme="minorHAnsi"/>
                <w:bCs/>
                <w:iCs/>
              </w:rPr>
              <w:t xml:space="preserve">That </w:t>
            </w:r>
            <w:r>
              <w:t>the report be noted.</w:t>
            </w:r>
          </w:p>
        </w:tc>
      </w:tr>
      <w:tr w:rsidR="005C0259"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5C0259" w14:paraId="78D929ED" w14:textId="77777777" w:rsidTr="00E709F7">
        <w:trPr>
          <w:gridAfter w:val="1"/>
          <w:wAfter w:w="142" w:type="dxa"/>
        </w:trPr>
        <w:tc>
          <w:tcPr>
            <w:tcW w:w="9016" w:type="dxa"/>
            <w:gridSpan w:val="2"/>
          </w:tcPr>
          <w:p w14:paraId="1CA7264F" w14:textId="77777777" w:rsidR="00E10BF8" w:rsidRDefault="004D2EA6" w:rsidP="00E709F7">
            <w:pPr>
              <w:pStyle w:val="Heading2"/>
            </w:pPr>
            <w:r w:rsidRPr="00613EC1">
              <w:t>Reasons for recommendations</w:t>
            </w:r>
          </w:p>
          <w:p w14:paraId="3F569D31" w14:textId="77777777" w:rsidR="00E10BF8" w:rsidRDefault="00E10BF8" w:rsidP="00E709F7"/>
        </w:tc>
      </w:tr>
      <w:tr w:rsidR="005C0259" w14:paraId="765A3A56" w14:textId="77777777" w:rsidTr="00E709F7">
        <w:trPr>
          <w:gridBefore w:val="1"/>
          <w:wBefore w:w="142" w:type="dxa"/>
        </w:trPr>
        <w:tc>
          <w:tcPr>
            <w:tcW w:w="9016" w:type="dxa"/>
            <w:gridSpan w:val="2"/>
          </w:tcPr>
          <w:p w14:paraId="296DDA3E" w14:textId="5E295E40" w:rsidR="00E10BF8" w:rsidRPr="00E963B8" w:rsidRDefault="004D2EA6" w:rsidP="00E963B8">
            <w:pPr>
              <w:pStyle w:val="ListParagraph"/>
              <w:numPr>
                <w:ilvl w:val="0"/>
                <w:numId w:val="9"/>
              </w:numPr>
              <w:spacing w:after="0" w:line="240" w:lineRule="auto"/>
              <w:ind w:left="602" w:hanging="709"/>
              <w:jc w:val="both"/>
              <w:rPr>
                <w:rFonts w:cstheme="minorHAnsi"/>
                <w:bCs/>
                <w:iCs/>
              </w:rPr>
            </w:pPr>
            <w:r>
              <w:rPr>
                <w:rFonts w:cstheme="minorHAnsi"/>
                <w:bCs/>
                <w:iCs/>
              </w:rPr>
              <w:t xml:space="preserve">The </w:t>
            </w:r>
            <w:r>
              <w:t>report provides an opportunity for the committee to scrutinise the performance of the portfolio.</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5C0259" w14:paraId="6C4B6455" w14:textId="77777777" w:rsidTr="002F4B61">
        <w:trPr>
          <w:gridAfter w:val="1"/>
          <w:wAfter w:w="142" w:type="dxa"/>
        </w:trPr>
        <w:tc>
          <w:tcPr>
            <w:tcW w:w="9016" w:type="dxa"/>
            <w:gridSpan w:val="2"/>
          </w:tcPr>
          <w:p w14:paraId="3D6705DE" w14:textId="77777777" w:rsidR="00E10BF8" w:rsidRDefault="004D2EA6" w:rsidP="002F4B61">
            <w:pPr>
              <w:pStyle w:val="Heading2"/>
            </w:pPr>
            <w:r w:rsidRPr="00613EC1">
              <w:t>Other options considered and rejected</w:t>
            </w:r>
          </w:p>
          <w:p w14:paraId="5DA05E38" w14:textId="460EB5F3" w:rsidR="00E10BF8" w:rsidRDefault="00E10BF8" w:rsidP="002F4B61"/>
        </w:tc>
      </w:tr>
      <w:tr w:rsidR="005C0259" w14:paraId="0C9ABC90" w14:textId="77777777" w:rsidTr="002F4B61">
        <w:trPr>
          <w:gridBefore w:val="1"/>
          <w:wBefore w:w="142" w:type="dxa"/>
        </w:trPr>
        <w:tc>
          <w:tcPr>
            <w:tcW w:w="9016" w:type="dxa"/>
            <w:gridSpan w:val="2"/>
          </w:tcPr>
          <w:p w14:paraId="2354F07D" w14:textId="6161DEB0" w:rsidR="00E10BF8" w:rsidRPr="00E10BF8" w:rsidRDefault="004D2EA6" w:rsidP="006F27C3">
            <w:pPr>
              <w:numPr>
                <w:ilvl w:val="0"/>
                <w:numId w:val="10"/>
              </w:numPr>
              <w:ind w:left="602" w:hanging="709"/>
              <w:jc w:val="both"/>
              <w:rPr>
                <w:rFonts w:cstheme="minorHAnsi"/>
                <w:bCs/>
                <w:iCs/>
              </w:rPr>
            </w:pPr>
            <w:r w:rsidRPr="00E811D7">
              <w:rPr>
                <w:rFonts w:cstheme="minorHAnsi"/>
                <w:bCs/>
                <w:iCs/>
              </w:rPr>
              <w:t xml:space="preserve">To </w:t>
            </w:r>
            <w:r w:rsidR="00555CB5">
              <w:t>not present the report, which would not support robust scrutiny.</w:t>
            </w:r>
          </w:p>
        </w:tc>
      </w:tr>
    </w:tbl>
    <w:p w14:paraId="6EC42FAA" w14:textId="77777777" w:rsidR="00D1305C" w:rsidRPr="002F1805" w:rsidRDefault="00D1305C" w:rsidP="002F1805">
      <w:pPr>
        <w:spacing w:after="0" w:line="240" w:lineRule="auto"/>
        <w:jc w:val="both"/>
        <w:rPr>
          <w:rFonts w:cstheme="minorHAnsi"/>
          <w:bCs/>
          <w:iCs/>
        </w:rPr>
      </w:pPr>
    </w:p>
    <w:p w14:paraId="50BF898F" w14:textId="79EA4E98" w:rsidR="00D1305C" w:rsidRPr="008C37E1" w:rsidRDefault="004D2EA6"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7E359EDC" w:rsidR="00D1305C" w:rsidRPr="00CD4005" w:rsidRDefault="004D2EA6"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Pr="00CD4005">
        <w:rPr>
          <w:rFonts w:cstheme="minorHAnsi"/>
          <w:bCs/>
          <w:iCs/>
        </w:rPr>
        <w:t xml:space="preserve"> </w:t>
      </w:r>
      <w:r w:rsidR="005629DD">
        <w:rPr>
          <w:rFonts w:cstheme="minorHAnsi"/>
          <w:bCs/>
          <w:iCs/>
        </w:rPr>
        <w:t>one</w:t>
      </w:r>
      <w:r w:rsidRPr="00CD4005">
        <w:rPr>
          <w:rFonts w:cstheme="minorHAnsi"/>
          <w:bCs/>
          <w:iCs/>
        </w:rPr>
        <w:t>)</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5C0259" w14:paraId="6ADAB65E" w14:textId="77777777" w:rsidTr="009A018E">
        <w:tc>
          <w:tcPr>
            <w:tcW w:w="4707" w:type="dxa"/>
          </w:tcPr>
          <w:p w14:paraId="2DBEC97A" w14:textId="2DD93C0C" w:rsidR="008F13BA" w:rsidRPr="00555CB5" w:rsidRDefault="004D2EA6" w:rsidP="00804F02">
            <w:pPr>
              <w:tabs>
                <w:tab w:val="left" w:pos="567"/>
              </w:tabs>
              <w:jc w:val="center"/>
              <w:rPr>
                <w:b/>
                <w:bCs/>
              </w:rPr>
            </w:pPr>
            <w:r w:rsidRPr="00555CB5">
              <w:rPr>
                <w:rFonts w:ascii="Arial" w:hAnsi="Arial" w:cs="Arial"/>
                <w:b/>
                <w:bCs/>
              </w:rPr>
              <w:t>An exemplary council</w:t>
            </w:r>
          </w:p>
        </w:tc>
        <w:tc>
          <w:tcPr>
            <w:tcW w:w="4678" w:type="dxa"/>
          </w:tcPr>
          <w:p w14:paraId="4FADAC6E" w14:textId="591B9E21" w:rsidR="008F13BA" w:rsidRPr="00B85F3A" w:rsidRDefault="004D2EA6" w:rsidP="00804F02">
            <w:pPr>
              <w:tabs>
                <w:tab w:val="left" w:pos="567"/>
              </w:tabs>
              <w:jc w:val="center"/>
            </w:pPr>
            <w:r>
              <w:rPr>
                <w:rFonts w:ascii="Arial" w:hAnsi="Arial" w:cs="Arial"/>
              </w:rPr>
              <w:t>Healthy and happy</w:t>
            </w:r>
            <w:r w:rsidR="00804F02">
              <w:rPr>
                <w:rFonts w:ascii="Arial" w:hAnsi="Arial" w:cs="Arial"/>
              </w:rPr>
              <w:t xml:space="preserve"> communities</w:t>
            </w:r>
          </w:p>
        </w:tc>
      </w:tr>
      <w:tr w:rsidR="005C0259" w14:paraId="1E03E666" w14:textId="77777777" w:rsidTr="009A018E">
        <w:tc>
          <w:tcPr>
            <w:tcW w:w="4707" w:type="dxa"/>
          </w:tcPr>
          <w:p w14:paraId="63931B2C" w14:textId="79C51909" w:rsidR="008F13BA" w:rsidRPr="00B85F3A" w:rsidRDefault="004D2EA6" w:rsidP="009A018E">
            <w:pPr>
              <w:tabs>
                <w:tab w:val="left" w:pos="567"/>
              </w:tabs>
              <w:spacing w:after="0"/>
              <w:jc w:val="center"/>
            </w:pPr>
            <w:r>
              <w:rPr>
                <w:rFonts w:ascii="Arial" w:hAnsi="Arial" w:cs="Arial"/>
              </w:rPr>
              <w:t>Opportunities</w:t>
            </w:r>
            <w:r w:rsidR="009A018E">
              <w:rPr>
                <w:rFonts w:ascii="Arial" w:hAnsi="Arial" w:cs="Arial"/>
              </w:rPr>
              <w:t xml:space="preserve"> for everyone</w:t>
            </w:r>
          </w:p>
        </w:tc>
        <w:tc>
          <w:tcPr>
            <w:tcW w:w="4678" w:type="dxa"/>
          </w:tcPr>
          <w:p w14:paraId="46CCFE25" w14:textId="13A4558F" w:rsidR="008F13BA" w:rsidRPr="00B85F3A" w:rsidRDefault="004D2EA6" w:rsidP="00804F02">
            <w:pPr>
              <w:autoSpaceDE w:val="0"/>
              <w:autoSpaceDN w:val="0"/>
              <w:adjustRightInd w:val="0"/>
              <w:spacing w:after="0"/>
              <w:jc w:val="center"/>
            </w:pPr>
            <w:r>
              <w:rPr>
                <w:rFonts w:ascii="Arial" w:hAnsi="Arial" w:cs="Arial"/>
              </w:rPr>
              <w:t>G</w:t>
            </w:r>
            <w:r w:rsidR="0073542D">
              <w:rPr>
                <w:rFonts w:ascii="Arial" w:hAnsi="Arial" w:cs="Arial"/>
              </w:rPr>
              <w:t>reen and clean neighbourhood</w:t>
            </w:r>
            <w:r w:rsidR="00612E38">
              <w:rPr>
                <w:rFonts w:ascii="Arial" w:hAnsi="Arial" w:cs="Arial"/>
              </w:rPr>
              <w:t>s</w:t>
            </w:r>
          </w:p>
        </w:tc>
      </w:tr>
    </w:tbl>
    <w:p w14:paraId="7E4A9580" w14:textId="77777777" w:rsidR="00D1305C" w:rsidRPr="00D4431F" w:rsidRDefault="00D1305C" w:rsidP="002F1805">
      <w:pPr>
        <w:spacing w:after="0" w:line="240" w:lineRule="auto"/>
        <w:jc w:val="both"/>
        <w:rPr>
          <w:rFonts w:cstheme="minorHAnsi"/>
          <w:bCs/>
        </w:rPr>
      </w:pPr>
    </w:p>
    <w:p w14:paraId="0E564E0F" w14:textId="09FD1481" w:rsidR="00D1305C" w:rsidRPr="008C37E1" w:rsidRDefault="004D2EA6" w:rsidP="002F4B61">
      <w:pPr>
        <w:pStyle w:val="Heading2"/>
      </w:pPr>
      <w:r w:rsidRPr="008C37E1">
        <w:t>Background to the report</w:t>
      </w:r>
    </w:p>
    <w:p w14:paraId="53DBB87C" w14:textId="792D88D0" w:rsidR="00555CB5" w:rsidRPr="00555CB5" w:rsidRDefault="00555CB5" w:rsidP="00470831">
      <w:pPr>
        <w:spacing w:after="0" w:line="240" w:lineRule="auto"/>
        <w:jc w:val="both"/>
        <w:rPr>
          <w:rFonts w:cstheme="minorHAnsi"/>
          <w:bCs/>
          <w:iCs/>
        </w:rPr>
      </w:pPr>
    </w:p>
    <w:p w14:paraId="1FFD40FC" w14:textId="195D4722" w:rsidR="00D1305C" w:rsidRPr="00612E38" w:rsidRDefault="004D2EA6" w:rsidP="00555CB5">
      <w:pPr>
        <w:numPr>
          <w:ilvl w:val="0"/>
          <w:numId w:val="11"/>
        </w:numPr>
        <w:spacing w:after="0" w:line="240" w:lineRule="auto"/>
        <w:ind w:left="567" w:hanging="567"/>
        <w:jc w:val="both"/>
        <w:rPr>
          <w:rFonts w:cstheme="minorHAnsi"/>
          <w:bCs/>
          <w:iCs/>
        </w:rPr>
      </w:pPr>
      <w:r>
        <w:t>This report sets out an update on the corporate strategy key projects, business plan actions and key performance indicators for the portfolio.</w:t>
      </w:r>
    </w:p>
    <w:p w14:paraId="4D1291AB" w14:textId="77777777" w:rsidR="00180674" w:rsidRPr="00180674" w:rsidRDefault="00180674" w:rsidP="00180674">
      <w:pPr>
        <w:spacing w:after="0" w:line="240" w:lineRule="auto"/>
        <w:ind w:left="567"/>
        <w:jc w:val="both"/>
        <w:rPr>
          <w:rFonts w:ascii="Arial" w:hAnsi="Arial" w:cs="Arial"/>
          <w:iCs/>
        </w:rPr>
      </w:pPr>
    </w:p>
    <w:p w14:paraId="31EBB8DD" w14:textId="7E70D19C" w:rsidR="00612E38" w:rsidRPr="00612E38" w:rsidRDefault="00612E38" w:rsidP="00555CB5">
      <w:pPr>
        <w:numPr>
          <w:ilvl w:val="0"/>
          <w:numId w:val="11"/>
        </w:numPr>
        <w:spacing w:after="0" w:line="240" w:lineRule="auto"/>
        <w:ind w:left="567" w:hanging="567"/>
        <w:jc w:val="both"/>
        <w:rPr>
          <w:rFonts w:ascii="Arial" w:hAnsi="Arial" w:cs="Arial"/>
          <w:iCs/>
        </w:rPr>
      </w:pPr>
      <w:r>
        <w:t>The information is provided based on the composition of the portfolio as at 31</w:t>
      </w:r>
      <w:r w:rsidRPr="00612E38">
        <w:rPr>
          <w:vertAlign w:val="superscript"/>
        </w:rPr>
        <w:t>st</w:t>
      </w:r>
      <w:r>
        <w:t xml:space="preserve"> January 2024. It should be noted that with effect from 1</w:t>
      </w:r>
      <w:r w:rsidRPr="00612E38">
        <w:rPr>
          <w:vertAlign w:val="superscript"/>
        </w:rPr>
        <w:t>st</w:t>
      </w:r>
      <w:r>
        <w:t xml:space="preserve"> February 2024, the portfolio has </w:t>
      </w:r>
      <w:r w:rsidR="00180674">
        <w:lastRenderedPageBreak/>
        <w:t xml:space="preserve">widened it’s brief to encompass </w:t>
      </w:r>
      <w:r w:rsidRPr="00612E38">
        <w:rPr>
          <w:rFonts w:ascii="Arial" w:eastAsia="Times New Roman" w:hAnsi="Arial" w:cs="Arial"/>
          <w:color w:val="262626"/>
          <w:lang w:eastAsia="en-GB"/>
        </w:rPr>
        <w:t>Finance, Assets and Public Protection</w:t>
      </w:r>
      <w:r>
        <w:rPr>
          <w:rFonts w:ascii="Arial" w:eastAsia="Times New Roman" w:hAnsi="Arial" w:cs="Arial"/>
          <w:color w:val="262626"/>
          <w:lang w:eastAsia="en-GB"/>
        </w:rPr>
        <w:t xml:space="preserve"> and will </w:t>
      </w:r>
      <w:r w:rsidR="00180674">
        <w:rPr>
          <w:rFonts w:ascii="Arial" w:eastAsia="Times New Roman" w:hAnsi="Arial" w:cs="Arial"/>
          <w:color w:val="262626"/>
          <w:lang w:eastAsia="en-GB"/>
        </w:rPr>
        <w:t xml:space="preserve">cover </w:t>
      </w:r>
      <w:r>
        <w:rPr>
          <w:rFonts w:ascii="Arial" w:eastAsia="Times New Roman" w:hAnsi="Arial" w:cs="Arial"/>
          <w:color w:val="262626"/>
          <w:lang w:eastAsia="en-GB"/>
        </w:rPr>
        <w:t xml:space="preserve">the following areas of responsibility: </w:t>
      </w:r>
    </w:p>
    <w:p w14:paraId="29272688" w14:textId="77777777" w:rsidR="00612E38" w:rsidRPr="00612E38" w:rsidRDefault="00612E38" w:rsidP="00612E38">
      <w:pPr>
        <w:pStyle w:val="ListParagraph"/>
        <w:numPr>
          <w:ilvl w:val="0"/>
          <w:numId w:val="20"/>
        </w:numPr>
        <w:spacing w:before="100" w:beforeAutospacing="1" w:after="0" w:afterAutospacing="1" w:line="240" w:lineRule="auto"/>
        <w:contextualSpacing w:val="0"/>
        <w:textAlignment w:val="baseline"/>
        <w:rPr>
          <w:rFonts w:cstheme="minorHAnsi"/>
          <w:color w:val="262626"/>
        </w:rPr>
      </w:pPr>
      <w:r w:rsidRPr="00612E38">
        <w:rPr>
          <w:rFonts w:cstheme="minorHAnsi"/>
          <w:color w:val="262626"/>
        </w:rPr>
        <w:t>Budget</w:t>
      </w:r>
    </w:p>
    <w:p w14:paraId="5DFE07BF" w14:textId="77777777" w:rsidR="00612E38" w:rsidRPr="00612E38" w:rsidRDefault="00612E38" w:rsidP="00612E38">
      <w:pPr>
        <w:pStyle w:val="ListParagraph"/>
        <w:numPr>
          <w:ilvl w:val="0"/>
          <w:numId w:val="20"/>
        </w:numPr>
        <w:spacing w:before="100" w:beforeAutospacing="1" w:after="0" w:afterAutospacing="1" w:line="240" w:lineRule="auto"/>
        <w:contextualSpacing w:val="0"/>
        <w:textAlignment w:val="baseline"/>
        <w:rPr>
          <w:rFonts w:cstheme="minorHAnsi"/>
          <w:color w:val="262626"/>
        </w:rPr>
      </w:pPr>
      <w:r w:rsidRPr="00612E38">
        <w:rPr>
          <w:rFonts w:cstheme="minorHAnsi"/>
          <w:color w:val="262626"/>
        </w:rPr>
        <w:t>Medium Term Financial Strategy</w:t>
      </w:r>
    </w:p>
    <w:p w14:paraId="757C0A24" w14:textId="77777777" w:rsidR="00612E38" w:rsidRPr="00612E38" w:rsidRDefault="00612E38" w:rsidP="00612E38">
      <w:pPr>
        <w:pStyle w:val="ListParagraph"/>
        <w:numPr>
          <w:ilvl w:val="0"/>
          <w:numId w:val="20"/>
        </w:numPr>
        <w:spacing w:before="100" w:beforeAutospacing="1" w:after="0" w:afterAutospacing="1" w:line="240" w:lineRule="auto"/>
        <w:contextualSpacing w:val="0"/>
        <w:textAlignment w:val="baseline"/>
        <w:rPr>
          <w:rFonts w:cstheme="minorHAnsi"/>
          <w:color w:val="262626"/>
        </w:rPr>
      </w:pPr>
      <w:r w:rsidRPr="00612E38">
        <w:rPr>
          <w:rFonts w:cstheme="minorHAnsi"/>
          <w:color w:val="262626"/>
        </w:rPr>
        <w:t>Licensing</w:t>
      </w:r>
    </w:p>
    <w:p w14:paraId="329E0C87" w14:textId="77777777" w:rsidR="00612E38" w:rsidRPr="00612E38" w:rsidRDefault="00612E38" w:rsidP="00612E38">
      <w:pPr>
        <w:pStyle w:val="ListParagraph"/>
        <w:numPr>
          <w:ilvl w:val="0"/>
          <w:numId w:val="20"/>
        </w:numPr>
        <w:spacing w:before="100" w:beforeAutospacing="1" w:after="0" w:afterAutospacing="1" w:line="240" w:lineRule="auto"/>
        <w:contextualSpacing w:val="0"/>
        <w:textAlignment w:val="baseline"/>
        <w:rPr>
          <w:rFonts w:cstheme="minorHAnsi"/>
          <w:color w:val="262626"/>
        </w:rPr>
      </w:pPr>
      <w:r w:rsidRPr="00612E38">
        <w:rPr>
          <w:rFonts w:cstheme="minorHAnsi"/>
          <w:color w:val="262626"/>
        </w:rPr>
        <w:t>Environmental Health</w:t>
      </w:r>
    </w:p>
    <w:p w14:paraId="74535DD9" w14:textId="77777777" w:rsidR="00612E38" w:rsidRPr="00612E38" w:rsidRDefault="00612E38" w:rsidP="00612E38">
      <w:pPr>
        <w:pStyle w:val="ListParagraph"/>
        <w:numPr>
          <w:ilvl w:val="0"/>
          <w:numId w:val="20"/>
        </w:numPr>
        <w:spacing w:before="100" w:beforeAutospacing="1" w:after="0" w:afterAutospacing="1" w:line="240" w:lineRule="auto"/>
        <w:contextualSpacing w:val="0"/>
        <w:textAlignment w:val="baseline"/>
        <w:rPr>
          <w:rFonts w:cstheme="minorHAnsi"/>
          <w:color w:val="262626"/>
        </w:rPr>
      </w:pPr>
      <w:r w:rsidRPr="00612E38">
        <w:rPr>
          <w:rFonts w:cstheme="minorHAnsi"/>
          <w:color w:val="262626"/>
        </w:rPr>
        <w:t>Public Safety</w:t>
      </w:r>
    </w:p>
    <w:p w14:paraId="3D44409F" w14:textId="77777777" w:rsidR="00612E38" w:rsidRPr="00612E38" w:rsidRDefault="00612E38" w:rsidP="00612E38">
      <w:pPr>
        <w:pStyle w:val="ListParagraph"/>
        <w:numPr>
          <w:ilvl w:val="0"/>
          <w:numId w:val="20"/>
        </w:numPr>
        <w:spacing w:before="100" w:beforeAutospacing="1" w:after="0" w:afterAutospacing="1" w:line="240" w:lineRule="auto"/>
        <w:contextualSpacing w:val="0"/>
        <w:textAlignment w:val="baseline"/>
        <w:rPr>
          <w:rFonts w:cstheme="minorHAnsi"/>
          <w:color w:val="262626"/>
        </w:rPr>
      </w:pPr>
      <w:r w:rsidRPr="00612E38">
        <w:rPr>
          <w:rFonts w:cstheme="minorHAnsi"/>
          <w:color w:val="262626"/>
        </w:rPr>
        <w:t>Community centres</w:t>
      </w:r>
    </w:p>
    <w:p w14:paraId="7E6FF816" w14:textId="7C2DE0EF" w:rsidR="00612E38" w:rsidRPr="00612E38" w:rsidRDefault="00612E38" w:rsidP="00612E38">
      <w:pPr>
        <w:pStyle w:val="ListParagraph"/>
        <w:numPr>
          <w:ilvl w:val="0"/>
          <w:numId w:val="20"/>
        </w:numPr>
        <w:spacing w:before="100" w:beforeAutospacing="1" w:after="0" w:afterAutospacing="1" w:line="240" w:lineRule="auto"/>
        <w:contextualSpacing w:val="0"/>
        <w:textAlignment w:val="baseline"/>
        <w:rPr>
          <w:rFonts w:cstheme="minorHAnsi"/>
          <w:color w:val="262626"/>
        </w:rPr>
      </w:pPr>
      <w:r w:rsidRPr="00612E38">
        <w:rPr>
          <w:rFonts w:cstheme="minorHAnsi"/>
          <w:color w:val="262626"/>
        </w:rPr>
        <w:t xml:space="preserve">Parks and play </w:t>
      </w:r>
      <w:r w:rsidR="00B90333" w:rsidRPr="00612E38">
        <w:rPr>
          <w:rFonts w:cstheme="minorHAnsi"/>
          <w:color w:val="262626"/>
        </w:rPr>
        <w:t>space.</w:t>
      </w:r>
    </w:p>
    <w:p w14:paraId="288D6C83" w14:textId="77777777" w:rsidR="00612E38" w:rsidRPr="00612E38" w:rsidRDefault="00612E38" w:rsidP="00612E38">
      <w:pPr>
        <w:pStyle w:val="ListParagraph"/>
        <w:numPr>
          <w:ilvl w:val="0"/>
          <w:numId w:val="20"/>
        </w:numPr>
        <w:spacing w:before="100" w:beforeAutospacing="1" w:after="0" w:afterAutospacing="1" w:line="240" w:lineRule="auto"/>
        <w:contextualSpacing w:val="0"/>
        <w:textAlignment w:val="baseline"/>
        <w:rPr>
          <w:rFonts w:cstheme="minorHAnsi"/>
          <w:color w:val="262626"/>
        </w:rPr>
      </w:pPr>
      <w:r w:rsidRPr="00612E38">
        <w:rPr>
          <w:rFonts w:cstheme="minorHAnsi"/>
          <w:color w:val="262626"/>
        </w:rPr>
        <w:t>Car Parking</w:t>
      </w:r>
    </w:p>
    <w:p w14:paraId="3785F57A" w14:textId="5488B5A1" w:rsidR="00612E38" w:rsidRPr="00612E38" w:rsidRDefault="00612E38" w:rsidP="00612E38">
      <w:pPr>
        <w:pStyle w:val="ListParagraph"/>
        <w:numPr>
          <w:ilvl w:val="0"/>
          <w:numId w:val="20"/>
        </w:numPr>
        <w:spacing w:after="0" w:line="240" w:lineRule="auto"/>
        <w:jc w:val="both"/>
        <w:rPr>
          <w:rFonts w:cstheme="minorHAnsi"/>
          <w:iCs/>
        </w:rPr>
      </w:pPr>
      <w:r w:rsidRPr="00612E38">
        <w:rPr>
          <w:rFonts w:cstheme="minorHAnsi"/>
          <w:color w:val="262626"/>
        </w:rPr>
        <w:t>Worden Hall</w:t>
      </w:r>
    </w:p>
    <w:p w14:paraId="38135AF8" w14:textId="77777777" w:rsidR="00470831" w:rsidRPr="00555CB5" w:rsidRDefault="00470831" w:rsidP="00470831">
      <w:pPr>
        <w:spacing w:after="0" w:line="240" w:lineRule="auto"/>
        <w:ind w:left="567"/>
        <w:jc w:val="both"/>
        <w:rPr>
          <w:rFonts w:cstheme="minorHAnsi"/>
          <w:bCs/>
          <w:iCs/>
        </w:rPr>
      </w:pPr>
    </w:p>
    <w:p w14:paraId="51B2CB7A" w14:textId="77777777" w:rsidR="00D1305C" w:rsidRDefault="00D1305C" w:rsidP="002F1805">
      <w:pPr>
        <w:spacing w:after="0" w:line="240" w:lineRule="auto"/>
        <w:jc w:val="both"/>
        <w:rPr>
          <w:rFonts w:cstheme="minorHAnsi"/>
          <w:bCs/>
          <w:iCs/>
        </w:rPr>
      </w:pPr>
    </w:p>
    <w:p w14:paraId="2CE07549" w14:textId="5199D205" w:rsidR="009A31AE" w:rsidRDefault="004D2EA6" w:rsidP="009A31AE">
      <w:pPr>
        <w:tabs>
          <w:tab w:val="left" w:pos="567"/>
        </w:tabs>
        <w:spacing w:after="0" w:line="240" w:lineRule="auto"/>
        <w:ind w:right="-284"/>
        <w:rPr>
          <w:b/>
          <w:bCs/>
        </w:rPr>
      </w:pPr>
      <w:r w:rsidRPr="009A31AE">
        <w:rPr>
          <w:b/>
          <w:bCs/>
        </w:rPr>
        <w:t>Finance</w:t>
      </w:r>
    </w:p>
    <w:p w14:paraId="3F6E4693" w14:textId="77777777" w:rsidR="00A1467F" w:rsidRPr="009A31AE" w:rsidRDefault="00A1467F" w:rsidP="009A31AE">
      <w:pPr>
        <w:tabs>
          <w:tab w:val="left" w:pos="567"/>
        </w:tabs>
        <w:spacing w:after="0" w:line="240" w:lineRule="auto"/>
        <w:ind w:right="-284"/>
        <w:rPr>
          <w:rFonts w:eastAsia="Times New Roman" w:cstheme="minorHAnsi"/>
          <w:b/>
          <w:bCs/>
          <w:lang w:eastAsia="en-GB"/>
        </w:rPr>
      </w:pPr>
    </w:p>
    <w:p w14:paraId="5D4FB291" w14:textId="1A4BC632" w:rsidR="00612E38" w:rsidRPr="00A62CFE" w:rsidRDefault="004D2EA6" w:rsidP="00A62CFE">
      <w:pPr>
        <w:pStyle w:val="ListParagraph"/>
        <w:numPr>
          <w:ilvl w:val="0"/>
          <w:numId w:val="11"/>
        </w:numPr>
        <w:tabs>
          <w:tab w:val="left" w:pos="567"/>
        </w:tabs>
        <w:spacing w:line="240" w:lineRule="auto"/>
        <w:ind w:left="567" w:right="-284" w:hanging="567"/>
        <w:jc w:val="both"/>
        <w:rPr>
          <w:rFonts w:cs="Arial"/>
        </w:rPr>
      </w:pPr>
      <w:r w:rsidRPr="00A62CFE">
        <w:rPr>
          <w:rFonts w:eastAsia="Times New Roman" w:cstheme="minorHAnsi"/>
          <w:lang w:eastAsia="en-GB"/>
        </w:rPr>
        <w:t xml:space="preserve">The </w:t>
      </w:r>
      <w:r w:rsidR="00A62CFE" w:rsidRPr="00A62CFE">
        <w:rPr>
          <w:rFonts w:eastAsia="Times New Roman" w:cstheme="minorHAnsi"/>
          <w:lang w:eastAsia="en-GB"/>
        </w:rPr>
        <w:t xml:space="preserve">work of the </w:t>
      </w:r>
      <w:r w:rsidR="00216636">
        <w:rPr>
          <w:rFonts w:eastAsia="Times New Roman" w:cstheme="minorHAnsi"/>
          <w:lang w:eastAsia="en-GB"/>
        </w:rPr>
        <w:t xml:space="preserve">Shared Services </w:t>
      </w:r>
      <w:r w:rsidR="00A62CFE" w:rsidRPr="00A62CFE">
        <w:rPr>
          <w:rFonts w:eastAsia="Times New Roman" w:cstheme="minorHAnsi"/>
          <w:lang w:eastAsia="en-GB"/>
        </w:rPr>
        <w:t>F</w:t>
      </w:r>
      <w:r>
        <w:t xml:space="preserve">inance Team </w:t>
      </w:r>
      <w:r w:rsidR="00612E38">
        <w:t xml:space="preserve">is </w:t>
      </w:r>
      <w:r w:rsidR="00612E38" w:rsidRPr="00A62CFE">
        <w:rPr>
          <w:rFonts w:cs="Arial"/>
        </w:rPr>
        <w:t>intrinsically linked to the successful delivery of Council services working in partnership with, and in providing support to, other directorates and teams across both councils.</w:t>
      </w:r>
    </w:p>
    <w:p w14:paraId="02966941" w14:textId="62492135" w:rsidR="00612E38" w:rsidRDefault="00A62CFE" w:rsidP="00A62CFE">
      <w:pPr>
        <w:spacing w:line="240" w:lineRule="auto"/>
        <w:ind w:firstLine="567"/>
        <w:jc w:val="both"/>
        <w:rPr>
          <w:rFonts w:cs="Arial"/>
        </w:rPr>
      </w:pPr>
      <w:r>
        <w:rPr>
          <w:rFonts w:cs="Arial"/>
        </w:rPr>
        <w:t xml:space="preserve">The </w:t>
      </w:r>
      <w:r w:rsidR="00612E38">
        <w:rPr>
          <w:rFonts w:cs="Arial"/>
        </w:rPr>
        <w:t xml:space="preserve">key services provided include; </w:t>
      </w:r>
    </w:p>
    <w:p w14:paraId="33EDC743" w14:textId="77777777" w:rsidR="00612E38" w:rsidRDefault="00612E38" w:rsidP="00A62CFE">
      <w:pPr>
        <w:numPr>
          <w:ilvl w:val="0"/>
          <w:numId w:val="21"/>
        </w:numPr>
        <w:spacing w:line="240" w:lineRule="auto"/>
        <w:jc w:val="both"/>
        <w:rPr>
          <w:rFonts w:cs="Arial"/>
        </w:rPr>
      </w:pPr>
      <w:r>
        <w:rPr>
          <w:rFonts w:cs="Arial"/>
        </w:rPr>
        <w:t>Corporate financial, management and technical accounting, including financial advice, budget preparation and consolidation, corporate revenue and capital monitoring, statement of accounts, external funding support and capital accounting;</w:t>
      </w:r>
    </w:p>
    <w:p w14:paraId="4402164E" w14:textId="77777777" w:rsidR="00612E38" w:rsidRDefault="00612E38" w:rsidP="00A62CFE">
      <w:pPr>
        <w:numPr>
          <w:ilvl w:val="0"/>
          <w:numId w:val="21"/>
        </w:numPr>
        <w:spacing w:line="240" w:lineRule="auto"/>
        <w:jc w:val="both"/>
        <w:rPr>
          <w:rFonts w:cs="Arial"/>
        </w:rPr>
      </w:pPr>
      <w:r>
        <w:rPr>
          <w:rFonts w:cs="Arial"/>
        </w:rPr>
        <w:t>Treasury management and VAT services;</w:t>
      </w:r>
    </w:p>
    <w:p w14:paraId="1F1E7452" w14:textId="77777777" w:rsidR="00612E38" w:rsidRDefault="00612E38" w:rsidP="00A62CFE">
      <w:pPr>
        <w:numPr>
          <w:ilvl w:val="0"/>
          <w:numId w:val="21"/>
        </w:numPr>
        <w:spacing w:line="240" w:lineRule="auto"/>
        <w:jc w:val="both"/>
        <w:rPr>
          <w:rFonts w:cs="Arial"/>
        </w:rPr>
      </w:pPr>
      <w:r>
        <w:rPr>
          <w:rFonts w:cs="Arial"/>
        </w:rPr>
        <w:t>Financial systems support;</w:t>
      </w:r>
    </w:p>
    <w:p w14:paraId="6E613A4A" w14:textId="7B2AD0B4" w:rsidR="00612E38" w:rsidRDefault="00612E38" w:rsidP="00A62CFE">
      <w:pPr>
        <w:numPr>
          <w:ilvl w:val="0"/>
          <w:numId w:val="21"/>
        </w:numPr>
        <w:spacing w:line="240" w:lineRule="auto"/>
        <w:jc w:val="both"/>
        <w:rPr>
          <w:rFonts w:cs="Arial"/>
        </w:rPr>
      </w:pPr>
      <w:r>
        <w:rPr>
          <w:rFonts w:cs="Arial"/>
        </w:rPr>
        <w:t xml:space="preserve">Exchequer – payment for all goods and services received across both </w:t>
      </w:r>
      <w:r w:rsidR="00A62CFE">
        <w:rPr>
          <w:rFonts w:cs="Arial"/>
        </w:rPr>
        <w:t xml:space="preserve">South Ribble and Chorley </w:t>
      </w:r>
      <w:r>
        <w:rPr>
          <w:rFonts w:cs="Arial"/>
        </w:rPr>
        <w:t>councils and the</w:t>
      </w:r>
      <w:r w:rsidR="00A62CFE">
        <w:rPr>
          <w:rFonts w:cs="Arial"/>
        </w:rPr>
        <w:t>ir respective l</w:t>
      </w:r>
      <w:r>
        <w:rPr>
          <w:rFonts w:cs="Arial"/>
        </w:rPr>
        <w:t>eisure centres</w:t>
      </w:r>
      <w:r w:rsidR="00A62CFE">
        <w:rPr>
          <w:rFonts w:cs="Arial"/>
        </w:rPr>
        <w:t>,</w:t>
      </w:r>
      <w:r>
        <w:rPr>
          <w:rFonts w:cs="Arial"/>
        </w:rPr>
        <w:t xml:space="preserve"> and cash management;</w:t>
      </w:r>
    </w:p>
    <w:p w14:paraId="2306142F" w14:textId="34959283" w:rsidR="00612E38" w:rsidRDefault="00612E38" w:rsidP="00A62CFE">
      <w:pPr>
        <w:pStyle w:val="ListParagraph"/>
        <w:numPr>
          <w:ilvl w:val="0"/>
          <w:numId w:val="21"/>
        </w:numPr>
        <w:autoSpaceDE w:val="0"/>
        <w:autoSpaceDN w:val="0"/>
        <w:adjustRightInd w:val="0"/>
        <w:spacing w:after="200" w:line="240" w:lineRule="auto"/>
        <w:rPr>
          <w:rFonts w:cs="Arial"/>
          <w:color w:val="000000"/>
        </w:rPr>
      </w:pPr>
      <w:r>
        <w:rPr>
          <w:rFonts w:cs="Arial"/>
        </w:rPr>
        <w:t>Advice to Members, Directors and budget holders in each department, a</w:t>
      </w:r>
      <w:r>
        <w:rPr>
          <w:rFonts w:cs="Arial"/>
          <w:color w:val="000000"/>
        </w:rPr>
        <w:t>ssisting all directorates to balance their budgets and developing savings and scheme options to close the budget gap</w:t>
      </w:r>
      <w:r w:rsidR="00A62CFE">
        <w:rPr>
          <w:rFonts w:cs="Arial"/>
          <w:color w:val="000000"/>
        </w:rPr>
        <w:t>.</w:t>
      </w:r>
    </w:p>
    <w:p w14:paraId="2A2A05DD" w14:textId="77777777" w:rsidR="00612E38" w:rsidRPr="00A1467F" w:rsidRDefault="00612E38" w:rsidP="00612E38">
      <w:pPr>
        <w:pStyle w:val="ListParagraph"/>
        <w:tabs>
          <w:tab w:val="left" w:pos="567"/>
        </w:tabs>
        <w:spacing w:after="0" w:line="240" w:lineRule="auto"/>
        <w:ind w:left="567" w:right="-284"/>
        <w:rPr>
          <w:rFonts w:eastAsia="Times New Roman" w:cstheme="minorHAnsi"/>
          <w:lang w:eastAsia="en-GB"/>
        </w:rPr>
      </w:pPr>
    </w:p>
    <w:p w14:paraId="03C97D74" w14:textId="65F6AA45" w:rsidR="009A31AE" w:rsidRPr="00A1467F" w:rsidRDefault="004D2EA6"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t xml:space="preserve">The service has a business plan </w:t>
      </w:r>
      <w:r w:rsidR="00A62CFE">
        <w:t xml:space="preserve">in place </w:t>
      </w:r>
      <w:r w:rsidR="00681448">
        <w:t xml:space="preserve">for 2023/24 </w:t>
      </w:r>
      <w:r w:rsidR="00A62CFE">
        <w:t xml:space="preserve">which </w:t>
      </w:r>
      <w:r>
        <w:t>set</w:t>
      </w:r>
      <w:r w:rsidR="00A62CFE">
        <w:t>s</w:t>
      </w:r>
      <w:r>
        <w:t xml:space="preserve"> out the key actions it will deliver </w:t>
      </w:r>
      <w:r w:rsidR="00A62CFE">
        <w:t xml:space="preserve">over </w:t>
      </w:r>
      <w:r>
        <w:t>the year. The table below provides an update on those key actions:</w:t>
      </w:r>
    </w:p>
    <w:p w14:paraId="758DF015" w14:textId="77777777" w:rsidR="00A1467F" w:rsidRDefault="00A1467F" w:rsidP="00A1467F">
      <w:pPr>
        <w:pStyle w:val="ListParagraph"/>
        <w:tabs>
          <w:tab w:val="left" w:pos="567"/>
        </w:tabs>
        <w:spacing w:after="0" w:line="240" w:lineRule="auto"/>
        <w:ind w:left="567" w:right="-284"/>
        <w:rPr>
          <w:rFonts w:eastAsia="Times New Roman" w:cstheme="minorHAnsi"/>
          <w:lang w:eastAsia="en-GB"/>
        </w:rPr>
      </w:pPr>
    </w:p>
    <w:tbl>
      <w:tblPr>
        <w:tblStyle w:val="TableGrid"/>
        <w:tblW w:w="9214" w:type="dxa"/>
        <w:tblInd w:w="137" w:type="dxa"/>
        <w:tblLook w:val="04A0" w:firstRow="1" w:lastRow="0" w:firstColumn="1" w:lastColumn="0" w:noHBand="0" w:noVBand="1"/>
      </w:tblPr>
      <w:tblGrid>
        <w:gridCol w:w="5098"/>
        <w:gridCol w:w="4116"/>
      </w:tblGrid>
      <w:tr w:rsidR="005C0259" w14:paraId="00BE1A40" w14:textId="77777777" w:rsidTr="00C9520B">
        <w:tc>
          <w:tcPr>
            <w:tcW w:w="5098" w:type="dxa"/>
          </w:tcPr>
          <w:p w14:paraId="50C137CC" w14:textId="7009CE2F" w:rsidR="00A1467F" w:rsidRPr="00895290" w:rsidRDefault="004D2EA6" w:rsidP="009476FC">
            <w:pPr>
              <w:pStyle w:val="ListParagraph"/>
              <w:tabs>
                <w:tab w:val="left" w:pos="567"/>
              </w:tabs>
              <w:spacing w:after="0" w:line="240" w:lineRule="auto"/>
              <w:ind w:left="0" w:right="-284"/>
              <w:rPr>
                <w:rFonts w:eastAsia="Times New Roman" w:cstheme="minorHAnsi"/>
                <w:b/>
                <w:bCs/>
                <w:lang w:eastAsia="en-GB"/>
              </w:rPr>
            </w:pPr>
            <w:r w:rsidRPr="00895290">
              <w:rPr>
                <w:rFonts w:cstheme="minorHAnsi"/>
                <w:b/>
                <w:bCs/>
              </w:rPr>
              <w:t>Key actions</w:t>
            </w:r>
            <w:r w:rsidR="00983FEA">
              <w:rPr>
                <w:rFonts w:cstheme="minorHAnsi"/>
                <w:b/>
                <w:bCs/>
              </w:rPr>
              <w:t xml:space="preserve"> </w:t>
            </w:r>
          </w:p>
        </w:tc>
        <w:tc>
          <w:tcPr>
            <w:tcW w:w="4116" w:type="dxa"/>
          </w:tcPr>
          <w:p w14:paraId="1F865D82" w14:textId="24F45DD6" w:rsidR="00A1467F" w:rsidRPr="00895290" w:rsidRDefault="004D2EA6" w:rsidP="009476FC">
            <w:pPr>
              <w:pStyle w:val="ListParagraph"/>
              <w:tabs>
                <w:tab w:val="left" w:pos="567"/>
              </w:tabs>
              <w:spacing w:after="0" w:line="240" w:lineRule="auto"/>
              <w:ind w:left="0" w:right="-284"/>
              <w:rPr>
                <w:rFonts w:eastAsia="Times New Roman" w:cstheme="minorHAnsi"/>
                <w:b/>
                <w:bCs/>
                <w:lang w:eastAsia="en-GB"/>
              </w:rPr>
            </w:pPr>
            <w:r w:rsidRPr="00895290">
              <w:rPr>
                <w:rFonts w:cstheme="minorHAnsi"/>
                <w:b/>
                <w:bCs/>
              </w:rPr>
              <w:t>Update</w:t>
            </w:r>
            <w:r w:rsidR="00983FEA">
              <w:rPr>
                <w:rFonts w:cstheme="minorHAnsi"/>
                <w:b/>
                <w:bCs/>
              </w:rPr>
              <w:t xml:space="preserve"> at the end of Qtr 3 23/24</w:t>
            </w:r>
          </w:p>
        </w:tc>
      </w:tr>
      <w:tr w:rsidR="005C0259" w14:paraId="4D302B18" w14:textId="77777777" w:rsidTr="007D469A">
        <w:tc>
          <w:tcPr>
            <w:tcW w:w="5098" w:type="dxa"/>
          </w:tcPr>
          <w:p w14:paraId="27E89372" w14:textId="77777777" w:rsidR="007D469A" w:rsidRPr="00895290" w:rsidRDefault="007D469A" w:rsidP="00895290">
            <w:pPr>
              <w:rPr>
                <w:rFonts w:cstheme="minorHAnsi"/>
              </w:rPr>
            </w:pPr>
            <w:r w:rsidRPr="00895290">
              <w:rPr>
                <w:rFonts w:cstheme="minorHAnsi"/>
                <w:b/>
                <w:bCs/>
                <w:i/>
                <w:iCs/>
              </w:rPr>
              <w:t>Finance system</w:t>
            </w:r>
            <w:r w:rsidRPr="00895290">
              <w:rPr>
                <w:rFonts w:cstheme="minorHAnsi"/>
              </w:rPr>
              <w:t xml:space="preserve"> – development of system specification, and progression of a tender exercise to move towards contract award and implementation for a target date of Go-Live on 1st April 2025.</w:t>
            </w:r>
          </w:p>
          <w:p w14:paraId="1801AA72" w14:textId="6AF3D969" w:rsidR="00A1467F" w:rsidRPr="00895290" w:rsidRDefault="00A1467F" w:rsidP="00895290">
            <w:pPr>
              <w:pStyle w:val="ListParagraph"/>
              <w:tabs>
                <w:tab w:val="left" w:pos="567"/>
              </w:tabs>
              <w:spacing w:after="0" w:line="240" w:lineRule="auto"/>
              <w:ind w:left="0" w:right="-284"/>
              <w:rPr>
                <w:rFonts w:eastAsia="Times New Roman" w:cstheme="minorHAnsi"/>
                <w:lang w:eastAsia="en-GB"/>
              </w:rPr>
            </w:pPr>
          </w:p>
        </w:tc>
        <w:tc>
          <w:tcPr>
            <w:tcW w:w="4116" w:type="dxa"/>
            <w:shd w:val="clear" w:color="auto" w:fill="FFC000"/>
          </w:tcPr>
          <w:p w14:paraId="211B074A" w14:textId="56340EF8" w:rsidR="007D469A" w:rsidRPr="00895290" w:rsidRDefault="007D469A" w:rsidP="00DF2D9E">
            <w:pPr>
              <w:rPr>
                <w:rFonts w:cstheme="minorHAnsi"/>
              </w:rPr>
            </w:pPr>
            <w:r w:rsidRPr="00895290">
              <w:rPr>
                <w:rFonts w:cstheme="minorHAnsi"/>
              </w:rPr>
              <w:t xml:space="preserve">Clarification now obtained from colleagues in IT and Customer Services regarding </w:t>
            </w:r>
            <w:r w:rsidR="00895290">
              <w:rPr>
                <w:rFonts w:cstheme="minorHAnsi"/>
              </w:rPr>
              <w:t xml:space="preserve">their future intentions regarding </w:t>
            </w:r>
            <w:r w:rsidRPr="00895290">
              <w:rPr>
                <w:rFonts w:cstheme="minorHAnsi"/>
              </w:rPr>
              <w:t>Civica Pay (which administers all of the income received by the council), i.e. that they will be working to extend the current contract</w:t>
            </w:r>
            <w:r w:rsidR="00895290">
              <w:rPr>
                <w:rFonts w:cstheme="minorHAnsi"/>
              </w:rPr>
              <w:t>. T</w:t>
            </w:r>
            <w:r w:rsidRPr="00895290">
              <w:rPr>
                <w:rFonts w:cstheme="minorHAnsi"/>
              </w:rPr>
              <w:t xml:space="preserve">his now provides some stability for the Finance Team to consider options for progressing </w:t>
            </w:r>
            <w:r w:rsidR="00895290">
              <w:rPr>
                <w:rFonts w:cstheme="minorHAnsi"/>
              </w:rPr>
              <w:t xml:space="preserve">the </w:t>
            </w:r>
            <w:r w:rsidRPr="00895290">
              <w:rPr>
                <w:rFonts w:cstheme="minorHAnsi"/>
              </w:rPr>
              <w:t>replacement of the current Finance System.</w:t>
            </w:r>
          </w:p>
          <w:p w14:paraId="4475B7EE" w14:textId="77777777" w:rsidR="00DF2D9E" w:rsidRDefault="007D469A" w:rsidP="00895290">
            <w:pPr>
              <w:rPr>
                <w:rFonts w:cstheme="minorHAnsi"/>
              </w:rPr>
            </w:pPr>
            <w:r w:rsidRPr="00895290">
              <w:rPr>
                <w:rFonts w:cstheme="minorHAnsi"/>
              </w:rPr>
              <w:t xml:space="preserve">A site visit has been arranged to a neighbouring council </w:t>
            </w:r>
            <w:r w:rsidR="00895290">
              <w:rPr>
                <w:rFonts w:cstheme="minorHAnsi"/>
              </w:rPr>
              <w:t xml:space="preserve">in March </w:t>
            </w:r>
            <w:r w:rsidRPr="00895290">
              <w:rPr>
                <w:rFonts w:cstheme="minorHAnsi"/>
              </w:rPr>
              <w:t xml:space="preserve">to explore an alternative system and </w:t>
            </w:r>
            <w:r w:rsidRPr="00895290">
              <w:rPr>
                <w:rFonts w:cstheme="minorHAnsi"/>
              </w:rPr>
              <w:lastRenderedPageBreak/>
              <w:t xml:space="preserve">opportunities for collaboration and external hosting </w:t>
            </w:r>
            <w:r w:rsidR="00895290">
              <w:rPr>
                <w:rFonts w:cstheme="minorHAnsi"/>
              </w:rPr>
              <w:t>options.</w:t>
            </w:r>
          </w:p>
          <w:p w14:paraId="12F49CCD" w14:textId="74125754" w:rsidR="00A1467F" w:rsidRPr="00895290" w:rsidRDefault="00DF2D9E" w:rsidP="00895290">
            <w:pPr>
              <w:rPr>
                <w:rFonts w:eastAsia="Times New Roman" w:cstheme="minorHAnsi"/>
                <w:lang w:eastAsia="en-GB"/>
              </w:rPr>
            </w:pPr>
            <w:r>
              <w:rPr>
                <w:rFonts w:cstheme="minorHAnsi"/>
              </w:rPr>
              <w:t>It is unlikely that this will be delivered by April 2025 but the option to extend our contract with the existing provider is in place.</w:t>
            </w:r>
            <w:r w:rsidR="007D469A" w:rsidRPr="00895290">
              <w:rPr>
                <w:rFonts w:cstheme="minorHAnsi"/>
              </w:rPr>
              <w:t xml:space="preserve"> </w:t>
            </w:r>
          </w:p>
        </w:tc>
      </w:tr>
      <w:tr w:rsidR="005C0259" w14:paraId="16C52738" w14:textId="77777777" w:rsidTr="00C9520B">
        <w:tc>
          <w:tcPr>
            <w:tcW w:w="5098" w:type="dxa"/>
          </w:tcPr>
          <w:p w14:paraId="5151AE98" w14:textId="77777777" w:rsidR="00294625" w:rsidRPr="00895290" w:rsidRDefault="00294625" w:rsidP="00895290">
            <w:pPr>
              <w:pStyle w:val="ListParagraph"/>
              <w:tabs>
                <w:tab w:val="left" w:pos="567"/>
              </w:tabs>
              <w:spacing w:after="0" w:line="240" w:lineRule="auto"/>
              <w:ind w:left="0" w:right="-284"/>
              <w:rPr>
                <w:rFonts w:cstheme="minorHAnsi"/>
              </w:rPr>
            </w:pPr>
            <w:r w:rsidRPr="00895290">
              <w:rPr>
                <w:rFonts w:cstheme="minorHAnsi"/>
                <w:b/>
                <w:bCs/>
                <w:i/>
                <w:iCs/>
              </w:rPr>
              <w:lastRenderedPageBreak/>
              <w:t>Embed new team structure</w:t>
            </w:r>
            <w:r w:rsidRPr="00895290">
              <w:rPr>
                <w:rFonts w:cstheme="minorHAnsi"/>
              </w:rPr>
              <w:t xml:space="preserve"> – almost half the </w:t>
            </w:r>
          </w:p>
          <w:p w14:paraId="4BF205E8" w14:textId="32B5322E" w:rsidR="00A1467F" w:rsidRPr="00895290" w:rsidRDefault="00294625" w:rsidP="00895290">
            <w:pPr>
              <w:pStyle w:val="ListParagraph"/>
              <w:tabs>
                <w:tab w:val="left" w:pos="567"/>
              </w:tabs>
              <w:spacing w:after="0" w:line="240" w:lineRule="auto"/>
              <w:ind w:left="0" w:right="-284"/>
              <w:rPr>
                <w:rFonts w:eastAsia="Times New Roman" w:cstheme="minorHAnsi"/>
                <w:lang w:eastAsia="en-GB"/>
              </w:rPr>
            </w:pPr>
            <w:r w:rsidRPr="00895290">
              <w:rPr>
                <w:rFonts w:cstheme="minorHAnsi"/>
              </w:rPr>
              <w:t xml:space="preserve">team are new in role/new to the </w:t>
            </w:r>
            <w:r w:rsidR="00B90333" w:rsidRPr="00895290">
              <w:rPr>
                <w:rFonts w:cstheme="minorHAnsi"/>
              </w:rPr>
              <w:t>organisation,</w:t>
            </w:r>
            <w:r w:rsidRPr="00895290">
              <w:rPr>
                <w:rFonts w:cstheme="minorHAnsi"/>
              </w:rPr>
              <w:t xml:space="preserve"> so training and development are a priority e.g. NNDR, Collection Fund Accounting, VAT, preparation of consolidated accounts, Corporation for subsidiary companies, whole of government accounts</w:t>
            </w:r>
          </w:p>
        </w:tc>
        <w:tc>
          <w:tcPr>
            <w:tcW w:w="4116" w:type="dxa"/>
            <w:shd w:val="clear" w:color="auto" w:fill="92D050"/>
          </w:tcPr>
          <w:p w14:paraId="0C313716" w14:textId="758C09CF" w:rsidR="00294625" w:rsidRPr="00895290" w:rsidRDefault="00294625" w:rsidP="00DF2D9E">
            <w:pPr>
              <w:pStyle w:val="pf0"/>
              <w:spacing w:after="0" w:afterAutospacing="0"/>
              <w:rPr>
                <w:rFonts w:asciiTheme="minorHAnsi" w:hAnsiTheme="minorHAnsi" w:cstheme="minorHAnsi"/>
                <w:lang w:eastAsia="en-US"/>
              </w:rPr>
            </w:pPr>
            <w:r w:rsidRPr="00895290">
              <w:rPr>
                <w:rFonts w:asciiTheme="minorHAnsi" w:hAnsiTheme="minorHAnsi" w:cstheme="minorHAnsi"/>
                <w:lang w:eastAsia="en-US"/>
              </w:rPr>
              <w:t xml:space="preserve">A couple of vacancies have arisen within the team which are currently being recruited to; it is hoped that there will be some opportunity for career development </w:t>
            </w:r>
            <w:r w:rsidR="00895290">
              <w:rPr>
                <w:rFonts w:asciiTheme="minorHAnsi" w:hAnsiTheme="minorHAnsi" w:cstheme="minorHAnsi"/>
                <w:lang w:eastAsia="en-US"/>
              </w:rPr>
              <w:t xml:space="preserve">from </w:t>
            </w:r>
            <w:r w:rsidRPr="00895290">
              <w:rPr>
                <w:rFonts w:asciiTheme="minorHAnsi" w:hAnsiTheme="minorHAnsi" w:cstheme="minorHAnsi"/>
                <w:lang w:eastAsia="en-US"/>
              </w:rPr>
              <w:t xml:space="preserve">within the team. We have continued our emphasis on training and development, and an additional member of the team is due to commence </w:t>
            </w:r>
            <w:r w:rsidR="00895290">
              <w:rPr>
                <w:rFonts w:asciiTheme="minorHAnsi" w:hAnsiTheme="minorHAnsi" w:cstheme="minorHAnsi"/>
                <w:lang w:eastAsia="en-US"/>
              </w:rPr>
              <w:t xml:space="preserve">her </w:t>
            </w:r>
            <w:r w:rsidRPr="00895290">
              <w:rPr>
                <w:rFonts w:asciiTheme="minorHAnsi" w:hAnsiTheme="minorHAnsi" w:cstheme="minorHAnsi"/>
                <w:lang w:eastAsia="en-US"/>
              </w:rPr>
              <w:t>studies for the CIPFA professional accounting qualification which will build technical strength across the team.</w:t>
            </w:r>
          </w:p>
          <w:p w14:paraId="1ED970B2" w14:textId="1E227C8A" w:rsidR="00A1467F" w:rsidRPr="00895290" w:rsidRDefault="00294625" w:rsidP="00895290">
            <w:pPr>
              <w:pStyle w:val="ListParagraph"/>
              <w:tabs>
                <w:tab w:val="left" w:pos="567"/>
              </w:tabs>
              <w:spacing w:after="0" w:line="240" w:lineRule="auto"/>
              <w:ind w:left="0" w:right="36"/>
              <w:jc w:val="both"/>
              <w:rPr>
                <w:rFonts w:eastAsia="Times New Roman" w:cstheme="minorHAnsi"/>
                <w:lang w:eastAsia="en-GB"/>
              </w:rPr>
            </w:pPr>
            <w:r w:rsidRPr="00895290">
              <w:rPr>
                <w:rFonts w:cstheme="minorHAnsi"/>
              </w:rPr>
              <w:t>We have now received unqualified audited opinions for the 2022/23 accounts for both councils; given these are the first sets of accounts produced by the new team, this is a huge achievement.</w:t>
            </w:r>
          </w:p>
        </w:tc>
      </w:tr>
      <w:tr w:rsidR="005C0259" w14:paraId="321F2AC2" w14:textId="77777777" w:rsidTr="00294625">
        <w:tc>
          <w:tcPr>
            <w:tcW w:w="5098" w:type="dxa"/>
          </w:tcPr>
          <w:p w14:paraId="1AF4DA7A" w14:textId="77777777" w:rsidR="00294625" w:rsidRPr="00895290" w:rsidRDefault="00294625" w:rsidP="00895290">
            <w:pPr>
              <w:pStyle w:val="Default"/>
              <w:rPr>
                <w:rFonts w:asciiTheme="minorHAnsi" w:hAnsiTheme="minorHAnsi" w:cstheme="minorHAnsi"/>
                <w:sz w:val="22"/>
                <w:szCs w:val="22"/>
              </w:rPr>
            </w:pPr>
            <w:r w:rsidRPr="00895290">
              <w:rPr>
                <w:rFonts w:asciiTheme="minorHAnsi" w:hAnsiTheme="minorHAnsi" w:cstheme="minorHAnsi"/>
                <w:b/>
                <w:bCs/>
                <w:i/>
                <w:iCs/>
                <w:sz w:val="22"/>
                <w:szCs w:val="22"/>
              </w:rPr>
              <w:t>Treasury and Cash Management</w:t>
            </w:r>
            <w:r w:rsidRPr="00895290">
              <w:rPr>
                <w:rFonts w:asciiTheme="minorHAnsi" w:hAnsiTheme="minorHAnsi" w:cstheme="minorHAnsi"/>
                <w:sz w:val="22"/>
                <w:szCs w:val="22"/>
              </w:rPr>
              <w:t xml:space="preserve"> – improve cashflow forecasting, review processes and procedures to improve investment returns and to minimise borrowing and treasury costs across both councils. </w:t>
            </w:r>
          </w:p>
          <w:p w14:paraId="247E5EEB" w14:textId="64C955FE" w:rsidR="00A1467F" w:rsidRPr="00895290" w:rsidRDefault="00A1467F" w:rsidP="00895290">
            <w:pPr>
              <w:pStyle w:val="ListParagraph"/>
              <w:tabs>
                <w:tab w:val="left" w:pos="567"/>
              </w:tabs>
              <w:spacing w:after="0" w:line="240" w:lineRule="auto"/>
              <w:ind w:left="0" w:right="-111"/>
              <w:rPr>
                <w:rFonts w:eastAsia="Times New Roman" w:cstheme="minorHAnsi"/>
                <w:lang w:eastAsia="en-GB"/>
              </w:rPr>
            </w:pPr>
          </w:p>
        </w:tc>
        <w:tc>
          <w:tcPr>
            <w:tcW w:w="4116" w:type="dxa"/>
            <w:shd w:val="clear" w:color="auto" w:fill="92D050"/>
          </w:tcPr>
          <w:p w14:paraId="1F0C3377" w14:textId="42EEF6CD" w:rsidR="00DF2D9E" w:rsidRPr="00895290" w:rsidRDefault="00294625" w:rsidP="00681448">
            <w:pPr>
              <w:pStyle w:val="ListParagraph"/>
              <w:tabs>
                <w:tab w:val="left" w:pos="567"/>
              </w:tabs>
              <w:spacing w:after="0" w:line="240" w:lineRule="auto"/>
              <w:ind w:left="0"/>
              <w:jc w:val="both"/>
              <w:rPr>
                <w:rFonts w:eastAsia="Times New Roman" w:cstheme="minorHAnsi"/>
                <w:lang w:eastAsia="en-GB"/>
              </w:rPr>
            </w:pPr>
            <w:r w:rsidRPr="00895290">
              <w:rPr>
                <w:rFonts w:cstheme="minorHAnsi"/>
              </w:rPr>
              <w:t>At Qtr 3 at SRBC, following improvement</w:t>
            </w:r>
            <w:r w:rsidR="00DF2D9E">
              <w:rPr>
                <w:rFonts w:cstheme="minorHAnsi"/>
              </w:rPr>
              <w:t>s</w:t>
            </w:r>
            <w:r w:rsidRPr="00895290">
              <w:rPr>
                <w:rFonts w:cstheme="minorHAnsi"/>
              </w:rPr>
              <w:t xml:space="preserve"> </w:t>
            </w:r>
            <w:r w:rsidR="00DF2D9E">
              <w:rPr>
                <w:rFonts w:cstheme="minorHAnsi"/>
              </w:rPr>
              <w:t>to</w:t>
            </w:r>
            <w:r w:rsidRPr="00895290">
              <w:rPr>
                <w:rFonts w:cstheme="minorHAnsi"/>
              </w:rPr>
              <w:t xml:space="preserve"> our treasury management processes, and the development of the cash flow forecasting model, the council expects to receive £1.327mill in interest receivable, compared to the budget for the year of £0.772mill – i.e. on over-recovery of £0.555mill against the budget.</w:t>
            </w:r>
          </w:p>
        </w:tc>
      </w:tr>
      <w:tr w:rsidR="005C0259" w14:paraId="29DA0B7C" w14:textId="77777777" w:rsidTr="00C9520B">
        <w:tc>
          <w:tcPr>
            <w:tcW w:w="5098" w:type="dxa"/>
          </w:tcPr>
          <w:p w14:paraId="70B815BD" w14:textId="0D0B5D3C" w:rsidR="00A1467F" w:rsidRPr="00895290" w:rsidRDefault="00C9520B" w:rsidP="00895290">
            <w:pPr>
              <w:pStyle w:val="ListParagraph"/>
              <w:tabs>
                <w:tab w:val="left" w:pos="567"/>
              </w:tabs>
              <w:spacing w:after="0" w:line="240" w:lineRule="auto"/>
              <w:ind w:left="0" w:right="-284"/>
              <w:rPr>
                <w:rFonts w:eastAsia="Times New Roman" w:cstheme="minorHAnsi"/>
                <w:lang w:eastAsia="en-GB"/>
              </w:rPr>
            </w:pPr>
            <w:r w:rsidRPr="00895290">
              <w:rPr>
                <w:rFonts w:cstheme="minorHAnsi"/>
                <w:b/>
                <w:bCs/>
              </w:rPr>
              <w:t>Review of Financial Standing Orders and Financial Procedures across both councils</w:t>
            </w:r>
            <w:r w:rsidRPr="00895290">
              <w:rPr>
                <w:rFonts w:cstheme="minorHAnsi"/>
              </w:rPr>
              <w:t xml:space="preserve"> – secure approval of the proposed amendments at Council</w:t>
            </w:r>
          </w:p>
        </w:tc>
        <w:tc>
          <w:tcPr>
            <w:tcW w:w="4116" w:type="dxa"/>
            <w:shd w:val="clear" w:color="auto" w:fill="FFC000"/>
          </w:tcPr>
          <w:p w14:paraId="6126D584" w14:textId="49088A9C" w:rsidR="00A1467F" w:rsidRPr="00895290" w:rsidRDefault="00895290" w:rsidP="00895290">
            <w:pPr>
              <w:pStyle w:val="pf0"/>
              <w:rPr>
                <w:rFonts w:asciiTheme="minorHAnsi" w:eastAsia="Times New Roman" w:hAnsiTheme="minorHAnsi" w:cstheme="minorHAnsi"/>
              </w:rPr>
            </w:pPr>
            <w:r w:rsidRPr="00895290">
              <w:rPr>
                <w:rFonts w:asciiTheme="minorHAnsi" w:hAnsiTheme="minorHAnsi" w:cstheme="minorHAnsi"/>
                <w:lang w:eastAsia="en-US"/>
              </w:rPr>
              <w:t>Review started and proposed financial standing orders to be presented to the respective Governance Committees in March 2024.</w:t>
            </w:r>
          </w:p>
        </w:tc>
      </w:tr>
      <w:tr w:rsidR="007D469A" w14:paraId="49833916" w14:textId="77777777" w:rsidTr="00895290">
        <w:tc>
          <w:tcPr>
            <w:tcW w:w="5098" w:type="dxa"/>
          </w:tcPr>
          <w:p w14:paraId="07A92C74" w14:textId="77777777" w:rsidR="007D469A" w:rsidRPr="00895290" w:rsidRDefault="007D469A" w:rsidP="00895290">
            <w:pPr>
              <w:rPr>
                <w:rFonts w:cstheme="minorHAnsi"/>
                <w:lang w:val="en-US"/>
              </w:rPr>
            </w:pPr>
            <w:r w:rsidRPr="00895290">
              <w:rPr>
                <w:rFonts w:cstheme="minorHAnsi"/>
                <w:b/>
                <w:bCs/>
                <w:i/>
                <w:iCs/>
                <w:lang w:val="en-US"/>
              </w:rPr>
              <w:t>Review of financial processes and procedures</w:t>
            </w:r>
            <w:r w:rsidRPr="00895290">
              <w:rPr>
                <w:rFonts w:cstheme="minorHAnsi"/>
                <w:lang w:val="en-US"/>
              </w:rPr>
              <w:t xml:space="preserve"> across all areas of the team, to streamline and improve efficiency, effectiveness, levels of internal control and to maximise the use of the resources available. The review will seek to share knowledge to build resilience and capacity within the team and require training as necessary. </w:t>
            </w:r>
          </w:p>
          <w:p w14:paraId="001B1165" w14:textId="77777777" w:rsidR="007D469A" w:rsidRPr="00895290" w:rsidRDefault="007D469A" w:rsidP="00895290">
            <w:pPr>
              <w:rPr>
                <w:rFonts w:cstheme="minorHAnsi"/>
                <w:lang w:val="en-US"/>
              </w:rPr>
            </w:pPr>
            <w:r w:rsidRPr="00895290">
              <w:rPr>
                <w:rFonts w:cstheme="minorHAnsi"/>
                <w:lang w:val="en-US"/>
              </w:rPr>
              <w:t>This will include, but is not limited, to reviews in respect of;</w:t>
            </w:r>
          </w:p>
          <w:p w14:paraId="29770C76" w14:textId="77777777" w:rsidR="007D469A" w:rsidRPr="00895290" w:rsidRDefault="007D469A" w:rsidP="00895290">
            <w:pPr>
              <w:pStyle w:val="ListParagraph"/>
              <w:numPr>
                <w:ilvl w:val="0"/>
                <w:numId w:val="21"/>
              </w:numPr>
              <w:spacing w:after="0" w:line="240" w:lineRule="auto"/>
              <w:rPr>
                <w:rFonts w:cstheme="minorHAnsi"/>
                <w:lang w:val="en-US"/>
              </w:rPr>
            </w:pPr>
            <w:r w:rsidRPr="00895290">
              <w:rPr>
                <w:rFonts w:cstheme="minorHAnsi"/>
                <w:lang w:val="en-US"/>
              </w:rPr>
              <w:t>Bank reconciliations and account maintenance (continued from 22/23)</w:t>
            </w:r>
          </w:p>
          <w:p w14:paraId="5725CA42" w14:textId="77777777" w:rsidR="007D469A" w:rsidRPr="00895290" w:rsidRDefault="007D469A" w:rsidP="00895290">
            <w:pPr>
              <w:pStyle w:val="ListParagraph"/>
              <w:numPr>
                <w:ilvl w:val="0"/>
                <w:numId w:val="21"/>
              </w:numPr>
              <w:spacing w:after="0" w:line="240" w:lineRule="auto"/>
              <w:rPr>
                <w:rFonts w:cstheme="minorHAnsi"/>
                <w:lang w:val="en-US"/>
              </w:rPr>
            </w:pPr>
            <w:r w:rsidRPr="00895290">
              <w:rPr>
                <w:rFonts w:cstheme="minorHAnsi"/>
                <w:lang w:val="en-US"/>
              </w:rPr>
              <w:t>Balance Sheet Reconciliations</w:t>
            </w:r>
          </w:p>
          <w:p w14:paraId="5FCD2176" w14:textId="77777777" w:rsidR="007D469A" w:rsidRPr="00895290" w:rsidRDefault="007D469A" w:rsidP="00895290">
            <w:pPr>
              <w:pStyle w:val="ListParagraph"/>
              <w:numPr>
                <w:ilvl w:val="0"/>
                <w:numId w:val="21"/>
              </w:numPr>
              <w:spacing w:after="0" w:line="240" w:lineRule="auto"/>
              <w:rPr>
                <w:rFonts w:cstheme="minorHAnsi"/>
                <w:lang w:val="en-US"/>
              </w:rPr>
            </w:pPr>
            <w:r w:rsidRPr="00895290">
              <w:rPr>
                <w:rFonts w:cstheme="minorHAnsi"/>
                <w:lang w:val="en-US"/>
              </w:rPr>
              <w:t>VAT</w:t>
            </w:r>
          </w:p>
          <w:p w14:paraId="5B89A3C0" w14:textId="77777777" w:rsidR="007D469A" w:rsidRPr="00895290" w:rsidRDefault="007D469A" w:rsidP="00895290">
            <w:pPr>
              <w:pStyle w:val="ListParagraph"/>
              <w:numPr>
                <w:ilvl w:val="0"/>
                <w:numId w:val="21"/>
              </w:numPr>
              <w:spacing w:after="0" w:line="240" w:lineRule="auto"/>
              <w:rPr>
                <w:rFonts w:cstheme="minorHAnsi"/>
                <w:lang w:val="en-US"/>
              </w:rPr>
            </w:pPr>
            <w:r w:rsidRPr="00895290">
              <w:rPr>
                <w:rFonts w:cstheme="minorHAnsi"/>
                <w:lang w:val="en-US"/>
              </w:rPr>
              <w:t>NNDR and Council Tax forecasting</w:t>
            </w:r>
          </w:p>
          <w:p w14:paraId="4A5BEE91" w14:textId="77777777" w:rsidR="007D469A" w:rsidRPr="00895290" w:rsidRDefault="007D469A" w:rsidP="00895290">
            <w:pPr>
              <w:pStyle w:val="ListParagraph"/>
              <w:numPr>
                <w:ilvl w:val="0"/>
                <w:numId w:val="21"/>
              </w:numPr>
              <w:spacing w:after="0" w:line="240" w:lineRule="auto"/>
              <w:rPr>
                <w:rFonts w:cstheme="minorHAnsi"/>
                <w:lang w:val="en-US"/>
              </w:rPr>
            </w:pPr>
            <w:r w:rsidRPr="00895290">
              <w:rPr>
                <w:rFonts w:cstheme="minorHAnsi"/>
                <w:lang w:val="en-US"/>
              </w:rPr>
              <w:t>Charities and Trust Accounts</w:t>
            </w:r>
          </w:p>
          <w:p w14:paraId="43DC0725" w14:textId="77777777" w:rsidR="007D469A" w:rsidRPr="00895290" w:rsidRDefault="007D469A" w:rsidP="00895290">
            <w:pPr>
              <w:pStyle w:val="ListParagraph"/>
              <w:numPr>
                <w:ilvl w:val="0"/>
                <w:numId w:val="21"/>
              </w:numPr>
              <w:spacing w:after="0" w:line="240" w:lineRule="auto"/>
              <w:rPr>
                <w:rFonts w:cstheme="minorHAnsi"/>
                <w:lang w:val="en-US"/>
              </w:rPr>
            </w:pPr>
            <w:r w:rsidRPr="00895290">
              <w:rPr>
                <w:rFonts w:cstheme="minorHAnsi"/>
                <w:lang w:val="en-US"/>
              </w:rPr>
              <w:t>Purchase Ordering and Creditor processing</w:t>
            </w:r>
          </w:p>
          <w:p w14:paraId="2CF7686B" w14:textId="3A94927A" w:rsidR="007D469A" w:rsidRPr="00895290" w:rsidRDefault="007D469A" w:rsidP="00895290">
            <w:pPr>
              <w:pStyle w:val="ListParagraph"/>
              <w:numPr>
                <w:ilvl w:val="0"/>
                <w:numId w:val="21"/>
              </w:numPr>
              <w:spacing w:after="0" w:line="240" w:lineRule="auto"/>
              <w:rPr>
                <w:rFonts w:eastAsia="Times New Roman" w:cstheme="minorHAnsi"/>
                <w:lang w:eastAsia="en-GB"/>
              </w:rPr>
            </w:pPr>
            <w:r w:rsidRPr="00895290">
              <w:rPr>
                <w:rFonts w:cstheme="minorHAnsi"/>
                <w:lang w:val="en-US"/>
              </w:rPr>
              <w:t>Payroll reporting</w:t>
            </w:r>
          </w:p>
        </w:tc>
        <w:tc>
          <w:tcPr>
            <w:tcW w:w="4116" w:type="dxa"/>
            <w:shd w:val="clear" w:color="auto" w:fill="92D050"/>
          </w:tcPr>
          <w:p w14:paraId="7F1239AB" w14:textId="77777777" w:rsidR="007D469A" w:rsidRPr="00895290" w:rsidRDefault="007D469A" w:rsidP="00DF2D9E">
            <w:pPr>
              <w:rPr>
                <w:rFonts w:cstheme="minorHAnsi"/>
              </w:rPr>
            </w:pPr>
            <w:r w:rsidRPr="00895290">
              <w:rPr>
                <w:rFonts w:cstheme="minorHAnsi"/>
              </w:rPr>
              <w:t>Ongoing, with monthly meetings in place to confirm balance sheet reconciliations are completed. A year-end timetable and activity schedule has been issued for the 23/24 accounts with assigned tasks to individual members of the team – the improvements in the processes should be seen in a much smoother year end closure and preparation of the 23/24 statutory accounts, which are expected to be completed one month earlier than last year.</w:t>
            </w:r>
          </w:p>
          <w:p w14:paraId="2A6D9894" w14:textId="67BA69EC" w:rsidR="007D469A" w:rsidRPr="00895290" w:rsidRDefault="007D469A" w:rsidP="00895290">
            <w:pPr>
              <w:rPr>
                <w:rFonts w:eastAsia="Times New Roman" w:cstheme="minorHAnsi"/>
                <w:lang w:eastAsia="en-GB"/>
              </w:rPr>
            </w:pPr>
            <w:r w:rsidRPr="00895290">
              <w:rPr>
                <w:rFonts w:cstheme="minorHAnsi"/>
              </w:rPr>
              <w:t>The 24/25 budget setting process has also gone much better this year following improvements in associated processes in this area.</w:t>
            </w:r>
          </w:p>
        </w:tc>
      </w:tr>
      <w:tr w:rsidR="007D469A" w14:paraId="214F3F19" w14:textId="77777777" w:rsidTr="00895290">
        <w:tc>
          <w:tcPr>
            <w:tcW w:w="5098" w:type="dxa"/>
          </w:tcPr>
          <w:p w14:paraId="09B73F6A" w14:textId="6C52CB53" w:rsidR="007D469A" w:rsidRPr="00895290" w:rsidRDefault="007D469A" w:rsidP="00895290">
            <w:pPr>
              <w:rPr>
                <w:rFonts w:cstheme="minorHAnsi"/>
                <w:b/>
                <w:bCs/>
                <w:i/>
                <w:iCs/>
                <w:lang w:val="en-US"/>
              </w:rPr>
            </w:pPr>
            <w:r w:rsidRPr="00895290">
              <w:rPr>
                <w:rFonts w:cstheme="minorHAnsi"/>
                <w:b/>
                <w:bCs/>
                <w:i/>
                <w:iCs/>
              </w:rPr>
              <w:lastRenderedPageBreak/>
              <w:t>Data Review and Cleanse</w:t>
            </w:r>
            <w:r w:rsidRPr="00895290">
              <w:rPr>
                <w:rFonts w:cstheme="minorHAnsi"/>
              </w:rPr>
              <w:t xml:space="preserve"> - exercises across Civica Financials and the Shared Drive</w:t>
            </w:r>
            <w:r w:rsidR="00B90333">
              <w:rPr>
                <w:rFonts w:cstheme="minorHAnsi"/>
              </w:rPr>
              <w:t>,</w:t>
            </w:r>
            <w:r w:rsidRPr="00895290">
              <w:rPr>
                <w:rFonts w:cstheme="minorHAnsi"/>
              </w:rPr>
              <w:t xml:space="preserve"> in readiness for migration to a new finance system and to SharePoint respectively</w:t>
            </w:r>
          </w:p>
        </w:tc>
        <w:tc>
          <w:tcPr>
            <w:tcW w:w="4116" w:type="dxa"/>
            <w:shd w:val="clear" w:color="auto" w:fill="92D050"/>
          </w:tcPr>
          <w:p w14:paraId="61FDB6E3" w14:textId="77777777" w:rsidR="007D469A" w:rsidRPr="00895290" w:rsidRDefault="007D469A" w:rsidP="00681448">
            <w:pPr>
              <w:pStyle w:val="pf0"/>
              <w:spacing w:before="0" w:beforeAutospacing="0" w:after="0" w:afterAutospacing="0"/>
              <w:rPr>
                <w:rFonts w:asciiTheme="minorHAnsi" w:hAnsiTheme="minorHAnsi" w:cstheme="minorHAnsi"/>
                <w:lang w:eastAsia="en-US"/>
              </w:rPr>
            </w:pPr>
            <w:r w:rsidRPr="00895290">
              <w:rPr>
                <w:rFonts w:asciiTheme="minorHAnsi" w:hAnsiTheme="minorHAnsi" w:cstheme="minorHAnsi"/>
                <w:lang w:eastAsia="en-US"/>
              </w:rPr>
              <w:t xml:space="preserve">The majority of the shared folders and files have been reviewed and those requiring use in the future, are being moved over into the new Teams file depository on Sharepoint. </w:t>
            </w:r>
          </w:p>
          <w:p w14:paraId="56088E7D" w14:textId="30195227" w:rsidR="007D469A" w:rsidRPr="00895290" w:rsidRDefault="007D469A" w:rsidP="00681448">
            <w:pPr>
              <w:pStyle w:val="pf0"/>
              <w:spacing w:before="0" w:beforeAutospacing="0"/>
              <w:rPr>
                <w:rFonts w:asciiTheme="minorHAnsi" w:hAnsiTheme="minorHAnsi" w:cstheme="minorHAnsi"/>
              </w:rPr>
            </w:pPr>
            <w:r w:rsidRPr="00895290">
              <w:rPr>
                <w:rFonts w:asciiTheme="minorHAnsi" w:hAnsiTheme="minorHAnsi" w:cstheme="minorHAnsi"/>
              </w:rPr>
              <w:t xml:space="preserve">Data on Civica Financials is being cleansed, and old data </w:t>
            </w:r>
            <w:r w:rsidR="00895290" w:rsidRPr="00895290">
              <w:rPr>
                <w:rFonts w:asciiTheme="minorHAnsi" w:hAnsiTheme="minorHAnsi" w:cstheme="minorHAnsi"/>
              </w:rPr>
              <w:t xml:space="preserve">is </w:t>
            </w:r>
            <w:r w:rsidRPr="00895290">
              <w:rPr>
                <w:rFonts w:asciiTheme="minorHAnsi" w:hAnsiTheme="minorHAnsi" w:cstheme="minorHAnsi"/>
              </w:rPr>
              <w:t xml:space="preserve">being deleted in line </w:t>
            </w:r>
            <w:r w:rsidR="00895290" w:rsidRPr="00895290">
              <w:rPr>
                <w:rFonts w:asciiTheme="minorHAnsi" w:hAnsiTheme="minorHAnsi" w:cstheme="minorHAnsi"/>
              </w:rPr>
              <w:t>with the Data Retention Policy and GDPR.</w:t>
            </w:r>
          </w:p>
        </w:tc>
      </w:tr>
      <w:tr w:rsidR="007D469A" w14:paraId="6C7E27FF" w14:textId="77777777" w:rsidTr="00895290">
        <w:tc>
          <w:tcPr>
            <w:tcW w:w="5098" w:type="dxa"/>
          </w:tcPr>
          <w:p w14:paraId="783469A3" w14:textId="5A32E6AE" w:rsidR="007D469A" w:rsidRPr="00895290" w:rsidRDefault="007D469A" w:rsidP="00895290">
            <w:pPr>
              <w:rPr>
                <w:rFonts w:cstheme="minorHAnsi"/>
                <w:b/>
                <w:bCs/>
                <w:i/>
                <w:iCs/>
                <w:lang w:val="en-US"/>
              </w:rPr>
            </w:pPr>
            <w:r w:rsidRPr="00895290">
              <w:rPr>
                <w:rFonts w:cstheme="minorHAnsi"/>
                <w:b/>
                <w:bCs/>
                <w:i/>
                <w:iCs/>
              </w:rPr>
              <w:t>Development and support for the delivery of the Savings Programme</w:t>
            </w:r>
            <w:r w:rsidRPr="00895290">
              <w:rPr>
                <w:rFonts w:cstheme="minorHAnsi"/>
              </w:rPr>
              <w:t xml:space="preserve"> - these are required across both councils to close the budget gaps identified for 2024/25 and 2025/26</w:t>
            </w:r>
          </w:p>
        </w:tc>
        <w:tc>
          <w:tcPr>
            <w:tcW w:w="4116" w:type="dxa"/>
            <w:shd w:val="clear" w:color="auto" w:fill="92D050"/>
          </w:tcPr>
          <w:p w14:paraId="0DC57DF7" w14:textId="7C2BB57D" w:rsidR="007D469A" w:rsidRPr="00895290" w:rsidRDefault="00895290" w:rsidP="00895290">
            <w:pPr>
              <w:rPr>
                <w:rFonts w:cstheme="minorHAnsi"/>
              </w:rPr>
            </w:pPr>
            <w:r w:rsidRPr="00895290">
              <w:rPr>
                <w:rFonts w:cstheme="minorHAnsi"/>
              </w:rPr>
              <w:t xml:space="preserve">24/25 Budget setting process well underway, with a balanced budget produced for 24/25 but budget gaps identified for 25/26 and beyond. Meetings </w:t>
            </w:r>
            <w:r w:rsidR="00681448">
              <w:rPr>
                <w:rFonts w:cstheme="minorHAnsi"/>
              </w:rPr>
              <w:t xml:space="preserve">are </w:t>
            </w:r>
            <w:r w:rsidRPr="00895290">
              <w:rPr>
                <w:rFonts w:cstheme="minorHAnsi"/>
              </w:rPr>
              <w:t xml:space="preserve">scheduled in Qtr 4 to develop savings </w:t>
            </w:r>
            <w:r w:rsidR="00681448">
              <w:rPr>
                <w:rFonts w:cstheme="minorHAnsi"/>
              </w:rPr>
              <w:t xml:space="preserve">options for subsequent consideration by Members </w:t>
            </w:r>
            <w:r w:rsidRPr="00895290">
              <w:rPr>
                <w:rFonts w:cstheme="minorHAnsi"/>
              </w:rPr>
              <w:t xml:space="preserve">to address this – </w:t>
            </w:r>
            <w:r w:rsidR="00681448">
              <w:rPr>
                <w:rFonts w:cstheme="minorHAnsi"/>
              </w:rPr>
              <w:t xml:space="preserve">the </w:t>
            </w:r>
            <w:r w:rsidRPr="00895290">
              <w:rPr>
                <w:rFonts w:cstheme="minorHAnsi"/>
              </w:rPr>
              <w:t xml:space="preserve">group </w:t>
            </w:r>
            <w:r w:rsidR="00681448">
              <w:rPr>
                <w:rFonts w:cstheme="minorHAnsi"/>
              </w:rPr>
              <w:t xml:space="preserve">leading on this </w:t>
            </w:r>
            <w:r w:rsidRPr="00895290">
              <w:rPr>
                <w:rFonts w:cstheme="minorHAnsi"/>
              </w:rPr>
              <w:t>compris</w:t>
            </w:r>
            <w:r w:rsidR="00681448">
              <w:rPr>
                <w:rFonts w:cstheme="minorHAnsi"/>
              </w:rPr>
              <w:t xml:space="preserve">es of the </w:t>
            </w:r>
            <w:r w:rsidRPr="00895290">
              <w:rPr>
                <w:rFonts w:cstheme="minorHAnsi"/>
              </w:rPr>
              <w:t>Deputy Chief Executive, Director of Change and Delivery, Director of Finance, and Head of Finance</w:t>
            </w:r>
          </w:p>
        </w:tc>
      </w:tr>
    </w:tbl>
    <w:p w14:paraId="4E3344F9" w14:textId="48466C9A" w:rsidR="009A31AE" w:rsidRDefault="009A31AE" w:rsidP="00A1467F">
      <w:pPr>
        <w:pStyle w:val="ListParagraph"/>
        <w:tabs>
          <w:tab w:val="left" w:pos="567"/>
        </w:tabs>
        <w:spacing w:after="0" w:line="240" w:lineRule="auto"/>
        <w:ind w:left="567" w:right="-284"/>
        <w:rPr>
          <w:rFonts w:eastAsia="Times New Roman" w:cstheme="minorHAnsi"/>
          <w:lang w:eastAsia="en-GB"/>
        </w:rPr>
      </w:pPr>
    </w:p>
    <w:p w14:paraId="191B40DD" w14:textId="77777777" w:rsidR="00C9520B" w:rsidRDefault="00C9520B" w:rsidP="00C9520B">
      <w:pPr>
        <w:pStyle w:val="ListParagraph"/>
        <w:tabs>
          <w:tab w:val="left" w:pos="567"/>
        </w:tabs>
        <w:spacing w:after="0" w:line="240" w:lineRule="auto"/>
        <w:ind w:left="567" w:right="-284"/>
        <w:rPr>
          <w:rFonts w:eastAsia="Times New Roman" w:cstheme="minorHAnsi"/>
          <w:lang w:eastAsia="en-GB"/>
        </w:rPr>
      </w:pPr>
    </w:p>
    <w:p w14:paraId="31120ED8" w14:textId="38686C9B" w:rsidR="00A1467F" w:rsidRPr="002931D1" w:rsidRDefault="004D2EA6"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t>team also monitors performance indicators to assess service performance. The latest position is set out below for those indicators that are reported on a monthly or quarterly basis:</w:t>
      </w:r>
    </w:p>
    <w:p w14:paraId="15509268" w14:textId="77777777" w:rsidR="002931D1" w:rsidRPr="002931D1" w:rsidRDefault="002931D1" w:rsidP="002931D1">
      <w:pPr>
        <w:pStyle w:val="ListParagraph"/>
        <w:tabs>
          <w:tab w:val="left" w:pos="567"/>
        </w:tabs>
        <w:spacing w:after="0" w:line="240" w:lineRule="auto"/>
        <w:ind w:left="567" w:right="-284"/>
        <w:rPr>
          <w:rFonts w:eastAsia="Times New Roman" w:cstheme="minorHAnsi"/>
          <w:lang w:eastAsia="en-GB"/>
        </w:rPr>
      </w:pPr>
    </w:p>
    <w:tbl>
      <w:tblPr>
        <w:tblStyle w:val="TableGrid"/>
        <w:tblW w:w="0" w:type="auto"/>
        <w:tblInd w:w="137" w:type="dxa"/>
        <w:tblLook w:val="04A0" w:firstRow="1" w:lastRow="0" w:firstColumn="1" w:lastColumn="0" w:noHBand="0" w:noVBand="1"/>
      </w:tblPr>
      <w:tblGrid>
        <w:gridCol w:w="6095"/>
        <w:gridCol w:w="1222"/>
        <w:gridCol w:w="1562"/>
      </w:tblGrid>
      <w:tr w:rsidR="002931D1" w14:paraId="67CE8A31" w14:textId="77777777" w:rsidTr="00153954">
        <w:tc>
          <w:tcPr>
            <w:tcW w:w="6095" w:type="dxa"/>
          </w:tcPr>
          <w:p w14:paraId="4AB1017F" w14:textId="580918D0" w:rsidR="002931D1" w:rsidRPr="009A31AE" w:rsidRDefault="002931D1" w:rsidP="00215B06">
            <w:pPr>
              <w:pStyle w:val="ListParagraph"/>
              <w:tabs>
                <w:tab w:val="left" w:pos="567"/>
              </w:tabs>
              <w:spacing w:after="0" w:line="240" w:lineRule="auto"/>
              <w:ind w:left="0" w:right="-284"/>
              <w:rPr>
                <w:rFonts w:eastAsia="Times New Roman" w:cstheme="minorHAnsi"/>
                <w:b/>
                <w:bCs/>
                <w:lang w:eastAsia="en-GB"/>
              </w:rPr>
            </w:pPr>
            <w:r w:rsidRPr="009A31AE">
              <w:rPr>
                <w:b/>
                <w:bCs/>
              </w:rPr>
              <w:t xml:space="preserve">Key </w:t>
            </w:r>
            <w:r>
              <w:rPr>
                <w:b/>
                <w:bCs/>
              </w:rPr>
              <w:t>Indicator</w:t>
            </w:r>
            <w:r w:rsidR="00983FEA">
              <w:rPr>
                <w:b/>
                <w:bCs/>
              </w:rPr>
              <w:t xml:space="preserve"> and Performance as at Qtr 3 23/24</w:t>
            </w:r>
          </w:p>
        </w:tc>
        <w:tc>
          <w:tcPr>
            <w:tcW w:w="1222" w:type="dxa"/>
          </w:tcPr>
          <w:p w14:paraId="03933B88" w14:textId="77777777" w:rsidR="002931D1" w:rsidRPr="009A31AE" w:rsidRDefault="002931D1" w:rsidP="00215B06">
            <w:pPr>
              <w:pStyle w:val="ListParagraph"/>
              <w:tabs>
                <w:tab w:val="left" w:pos="567"/>
              </w:tabs>
              <w:spacing w:after="0" w:line="240" w:lineRule="auto"/>
              <w:ind w:left="0" w:right="-284"/>
              <w:rPr>
                <w:rFonts w:eastAsia="Times New Roman" w:cstheme="minorHAnsi"/>
                <w:b/>
                <w:bCs/>
                <w:lang w:eastAsia="en-GB"/>
              </w:rPr>
            </w:pPr>
            <w:r>
              <w:rPr>
                <w:b/>
                <w:bCs/>
              </w:rPr>
              <w:t>Target</w:t>
            </w:r>
          </w:p>
        </w:tc>
        <w:tc>
          <w:tcPr>
            <w:tcW w:w="1562" w:type="dxa"/>
          </w:tcPr>
          <w:p w14:paraId="425F9471" w14:textId="77777777" w:rsidR="002931D1" w:rsidRPr="009A31AE" w:rsidRDefault="002931D1" w:rsidP="00215B06">
            <w:pPr>
              <w:pStyle w:val="ListParagraph"/>
              <w:tabs>
                <w:tab w:val="left" w:pos="567"/>
              </w:tabs>
              <w:spacing w:after="0" w:line="240" w:lineRule="auto"/>
              <w:ind w:left="0" w:right="-284"/>
              <w:rPr>
                <w:rFonts w:eastAsia="Times New Roman" w:cstheme="minorHAnsi"/>
                <w:b/>
                <w:bCs/>
                <w:lang w:eastAsia="en-GB"/>
              </w:rPr>
            </w:pPr>
            <w:r>
              <w:rPr>
                <w:rFonts w:eastAsia="Times New Roman" w:cstheme="minorHAnsi"/>
                <w:b/>
                <w:bCs/>
                <w:lang w:eastAsia="en-GB"/>
              </w:rPr>
              <w:t>Latest Performance</w:t>
            </w:r>
          </w:p>
        </w:tc>
      </w:tr>
      <w:tr w:rsidR="007710E6" w14:paraId="7A89A76C" w14:textId="77777777" w:rsidTr="00153954">
        <w:tc>
          <w:tcPr>
            <w:tcW w:w="6095" w:type="dxa"/>
            <w:vAlign w:val="center"/>
          </w:tcPr>
          <w:p w14:paraId="6C5B0BEC" w14:textId="77777777" w:rsidR="007710E6" w:rsidRDefault="007710E6" w:rsidP="007710E6">
            <w:pPr>
              <w:pStyle w:val="ListParagraph"/>
              <w:tabs>
                <w:tab w:val="left" w:pos="567"/>
              </w:tabs>
              <w:spacing w:after="0" w:line="240" w:lineRule="auto"/>
              <w:ind w:left="0" w:right="-284"/>
              <w:rPr>
                <w:rFonts w:eastAsia="Times New Roman" w:cs="Arial"/>
                <w:color w:val="000000"/>
                <w:lang w:eastAsia="en-GB"/>
              </w:rPr>
            </w:pPr>
            <w:r w:rsidRPr="00AF2A12">
              <w:rPr>
                <w:rFonts w:eastAsia="Times New Roman" w:cs="Arial"/>
                <w:color w:val="000000"/>
                <w:lang w:eastAsia="en-GB"/>
              </w:rPr>
              <w:t>Statutory Grant Claims and Returns to be submitted on time</w:t>
            </w:r>
            <w:r>
              <w:rPr>
                <w:rFonts w:eastAsia="Times New Roman" w:cs="Arial"/>
                <w:color w:val="000000"/>
                <w:lang w:eastAsia="en-GB"/>
              </w:rPr>
              <w:t xml:space="preserve"> </w:t>
            </w:r>
          </w:p>
          <w:p w14:paraId="79985D27" w14:textId="6F3DFE40" w:rsidR="007710E6" w:rsidRDefault="007710E6" w:rsidP="007710E6">
            <w:pPr>
              <w:pStyle w:val="ListParagraph"/>
              <w:tabs>
                <w:tab w:val="left" w:pos="567"/>
              </w:tabs>
              <w:spacing w:after="0" w:line="240" w:lineRule="auto"/>
              <w:ind w:left="0" w:right="-284"/>
              <w:rPr>
                <w:rFonts w:eastAsia="Times New Roman" w:cstheme="minorHAnsi"/>
                <w:lang w:eastAsia="en-GB"/>
              </w:rPr>
            </w:pPr>
          </w:p>
        </w:tc>
        <w:tc>
          <w:tcPr>
            <w:tcW w:w="1222" w:type="dxa"/>
          </w:tcPr>
          <w:p w14:paraId="653A9BD3" w14:textId="217D81F5" w:rsidR="007710E6" w:rsidRDefault="007710E6" w:rsidP="007710E6">
            <w:pPr>
              <w:pStyle w:val="ListParagraph"/>
              <w:tabs>
                <w:tab w:val="left" w:pos="567"/>
              </w:tabs>
              <w:spacing w:after="0" w:line="240" w:lineRule="auto"/>
              <w:ind w:left="0" w:right="-284"/>
              <w:rPr>
                <w:rFonts w:eastAsia="Times New Roman" w:cstheme="minorHAnsi"/>
                <w:lang w:eastAsia="en-GB"/>
              </w:rPr>
            </w:pPr>
            <w:r>
              <w:rPr>
                <w:rFonts w:eastAsia="Times New Roman" w:cstheme="minorHAnsi"/>
                <w:lang w:eastAsia="en-GB"/>
              </w:rPr>
              <w:t>100%</w:t>
            </w:r>
          </w:p>
        </w:tc>
        <w:tc>
          <w:tcPr>
            <w:tcW w:w="1562" w:type="dxa"/>
          </w:tcPr>
          <w:p w14:paraId="1478D4D5" w14:textId="36636FDC" w:rsidR="007710E6" w:rsidRDefault="007710E6" w:rsidP="007710E6">
            <w:pPr>
              <w:pStyle w:val="ListParagraph"/>
              <w:tabs>
                <w:tab w:val="left" w:pos="567"/>
              </w:tabs>
              <w:spacing w:after="0" w:line="240" w:lineRule="auto"/>
              <w:ind w:left="0" w:right="-284"/>
              <w:rPr>
                <w:rFonts w:eastAsia="Times New Roman" w:cstheme="minorHAnsi"/>
                <w:lang w:eastAsia="en-GB"/>
              </w:rPr>
            </w:pPr>
            <w:r>
              <w:rPr>
                <w:rFonts w:eastAsia="Times New Roman" w:cstheme="minorHAnsi"/>
                <w:lang w:eastAsia="en-GB"/>
              </w:rPr>
              <w:t>100%</w:t>
            </w:r>
          </w:p>
        </w:tc>
      </w:tr>
      <w:tr w:rsidR="007710E6" w14:paraId="5EB21BE3" w14:textId="77777777" w:rsidTr="00153954">
        <w:tc>
          <w:tcPr>
            <w:tcW w:w="6095" w:type="dxa"/>
          </w:tcPr>
          <w:p w14:paraId="73DD2FB2" w14:textId="77777777" w:rsidR="00153954" w:rsidRDefault="007710E6" w:rsidP="007710E6">
            <w:pPr>
              <w:pStyle w:val="ListParagraph"/>
              <w:tabs>
                <w:tab w:val="left" w:pos="567"/>
              </w:tabs>
              <w:spacing w:after="0" w:line="240" w:lineRule="auto"/>
              <w:ind w:left="0" w:right="-284"/>
              <w:rPr>
                <w:rFonts w:eastAsia="Times New Roman" w:cs="Arial"/>
                <w:color w:val="000000"/>
                <w:lang w:eastAsia="en-GB"/>
              </w:rPr>
            </w:pPr>
            <w:r w:rsidRPr="00AF2A12">
              <w:rPr>
                <w:rFonts w:eastAsia="Times New Roman" w:cs="Arial"/>
                <w:color w:val="000000"/>
                <w:lang w:eastAsia="en-GB"/>
              </w:rPr>
              <w:t>Supplier Payment within 30 days (cumulative</w:t>
            </w:r>
            <w:r>
              <w:rPr>
                <w:rFonts w:eastAsia="Times New Roman" w:cs="Arial"/>
                <w:color w:val="000000"/>
                <w:lang w:eastAsia="en-GB"/>
              </w:rPr>
              <w:t xml:space="preserve">) </w:t>
            </w:r>
            <w:r w:rsidR="00983FEA">
              <w:rPr>
                <w:rFonts w:eastAsia="Times New Roman" w:cs="Arial"/>
                <w:color w:val="000000"/>
                <w:lang w:eastAsia="en-GB"/>
              </w:rPr>
              <w:t xml:space="preserve">– (this is also </w:t>
            </w:r>
          </w:p>
          <w:p w14:paraId="3B427688" w14:textId="40400A70" w:rsidR="007710E6" w:rsidRDefault="00983FEA" w:rsidP="007710E6">
            <w:pPr>
              <w:pStyle w:val="ListParagraph"/>
              <w:tabs>
                <w:tab w:val="left" w:pos="567"/>
              </w:tabs>
              <w:spacing w:after="0" w:line="240" w:lineRule="auto"/>
              <w:ind w:left="0" w:right="-284"/>
              <w:rPr>
                <w:rFonts w:eastAsia="Times New Roman" w:cs="Arial"/>
                <w:color w:val="000000"/>
                <w:lang w:eastAsia="en-GB"/>
              </w:rPr>
            </w:pPr>
            <w:r>
              <w:rPr>
                <w:rFonts w:eastAsia="Times New Roman" w:cs="Arial"/>
                <w:color w:val="000000"/>
                <w:lang w:eastAsia="en-GB"/>
              </w:rPr>
              <w:t>a Corporate Performance Target)</w:t>
            </w:r>
          </w:p>
          <w:p w14:paraId="0DE8D558" w14:textId="46214906" w:rsidR="007710E6" w:rsidRPr="007710E6" w:rsidRDefault="007710E6" w:rsidP="007710E6">
            <w:pPr>
              <w:pStyle w:val="ListParagraph"/>
              <w:tabs>
                <w:tab w:val="left" w:pos="567"/>
              </w:tabs>
              <w:spacing w:after="0" w:line="240" w:lineRule="auto"/>
              <w:ind w:left="0" w:right="-284"/>
              <w:rPr>
                <w:rFonts w:eastAsia="Times New Roman" w:cstheme="minorHAnsi"/>
                <w:i/>
                <w:iCs/>
                <w:lang w:eastAsia="en-GB"/>
              </w:rPr>
            </w:pPr>
            <w:r>
              <w:rPr>
                <w:rFonts w:eastAsia="Times New Roman" w:cstheme="minorHAnsi"/>
                <w:i/>
                <w:iCs/>
                <w:lang w:eastAsia="en-GB"/>
              </w:rPr>
              <w:t xml:space="preserve"> </w:t>
            </w:r>
          </w:p>
        </w:tc>
        <w:tc>
          <w:tcPr>
            <w:tcW w:w="1222" w:type="dxa"/>
          </w:tcPr>
          <w:p w14:paraId="384D553B" w14:textId="00FCE702" w:rsidR="007710E6" w:rsidRDefault="007710E6" w:rsidP="007710E6">
            <w:pPr>
              <w:pStyle w:val="ListParagraph"/>
              <w:tabs>
                <w:tab w:val="left" w:pos="567"/>
              </w:tabs>
              <w:spacing w:after="0" w:line="240" w:lineRule="auto"/>
              <w:ind w:left="0" w:right="-284"/>
              <w:rPr>
                <w:rFonts w:eastAsia="Times New Roman" w:cstheme="minorHAnsi"/>
                <w:lang w:eastAsia="en-GB"/>
              </w:rPr>
            </w:pPr>
            <w:r>
              <w:rPr>
                <w:rFonts w:eastAsia="Times New Roman" w:cstheme="minorHAnsi"/>
                <w:lang w:eastAsia="en-GB"/>
              </w:rPr>
              <w:t>95%</w:t>
            </w:r>
          </w:p>
        </w:tc>
        <w:tc>
          <w:tcPr>
            <w:tcW w:w="1562" w:type="dxa"/>
          </w:tcPr>
          <w:p w14:paraId="09CB7E1F" w14:textId="28EA9BAF" w:rsidR="007710E6" w:rsidRDefault="007710E6" w:rsidP="007710E6">
            <w:pPr>
              <w:pStyle w:val="ListParagraph"/>
              <w:tabs>
                <w:tab w:val="left" w:pos="567"/>
              </w:tabs>
              <w:spacing w:after="0" w:line="240" w:lineRule="auto"/>
              <w:ind w:left="0" w:right="-284"/>
              <w:rPr>
                <w:rFonts w:eastAsia="Times New Roman" w:cstheme="minorHAnsi"/>
                <w:lang w:eastAsia="en-GB"/>
              </w:rPr>
            </w:pPr>
            <w:r>
              <w:rPr>
                <w:rFonts w:eastAsia="Times New Roman" w:cstheme="minorHAnsi"/>
                <w:lang w:eastAsia="en-GB"/>
              </w:rPr>
              <w:t>93.3%</w:t>
            </w:r>
          </w:p>
        </w:tc>
      </w:tr>
      <w:tr w:rsidR="007710E6" w14:paraId="0C6059ED" w14:textId="77777777" w:rsidTr="00153954">
        <w:tc>
          <w:tcPr>
            <w:tcW w:w="6095" w:type="dxa"/>
            <w:vAlign w:val="center"/>
          </w:tcPr>
          <w:p w14:paraId="22EF673B" w14:textId="77777777" w:rsidR="007710E6" w:rsidRDefault="007710E6" w:rsidP="007710E6">
            <w:pPr>
              <w:pStyle w:val="ListParagraph"/>
              <w:tabs>
                <w:tab w:val="left" w:pos="567"/>
              </w:tabs>
              <w:spacing w:after="0" w:line="240" w:lineRule="auto"/>
              <w:ind w:left="0" w:right="-284"/>
              <w:rPr>
                <w:rFonts w:eastAsia="Times New Roman" w:cs="Arial"/>
                <w:color w:val="000000"/>
                <w:lang w:eastAsia="en-GB"/>
              </w:rPr>
            </w:pPr>
            <w:r w:rsidRPr="00AF2A12">
              <w:rPr>
                <w:rFonts w:eastAsia="Times New Roman" w:cs="Arial"/>
                <w:color w:val="000000"/>
                <w:lang w:eastAsia="en-GB"/>
              </w:rPr>
              <w:t>Supplier Payment within 30 days (in month)</w:t>
            </w:r>
            <w:r>
              <w:rPr>
                <w:rFonts w:eastAsia="Times New Roman" w:cs="Arial"/>
                <w:color w:val="000000"/>
                <w:lang w:eastAsia="en-GB"/>
              </w:rPr>
              <w:t xml:space="preserve"> </w:t>
            </w:r>
          </w:p>
          <w:p w14:paraId="71E4CF3E" w14:textId="05FB37E9" w:rsidR="00983FEA" w:rsidRDefault="00983FEA" w:rsidP="007710E6">
            <w:pPr>
              <w:pStyle w:val="ListParagraph"/>
              <w:tabs>
                <w:tab w:val="left" w:pos="567"/>
              </w:tabs>
              <w:spacing w:after="0" w:line="240" w:lineRule="auto"/>
              <w:ind w:left="0" w:right="-284"/>
              <w:rPr>
                <w:rFonts w:eastAsia="Times New Roman" w:cstheme="minorHAnsi"/>
                <w:lang w:eastAsia="en-GB"/>
              </w:rPr>
            </w:pPr>
          </w:p>
        </w:tc>
        <w:tc>
          <w:tcPr>
            <w:tcW w:w="1222" w:type="dxa"/>
          </w:tcPr>
          <w:p w14:paraId="71EF806C" w14:textId="02D84B2A" w:rsidR="007710E6" w:rsidRDefault="00983FEA" w:rsidP="007710E6">
            <w:pPr>
              <w:pStyle w:val="ListParagraph"/>
              <w:tabs>
                <w:tab w:val="left" w:pos="567"/>
              </w:tabs>
              <w:spacing w:after="0" w:line="240" w:lineRule="auto"/>
              <w:ind w:left="0" w:right="-284"/>
              <w:rPr>
                <w:rFonts w:eastAsia="Times New Roman" w:cstheme="minorHAnsi"/>
                <w:lang w:eastAsia="en-GB"/>
              </w:rPr>
            </w:pPr>
            <w:r>
              <w:rPr>
                <w:rFonts w:eastAsia="Times New Roman" w:cstheme="minorHAnsi"/>
                <w:lang w:eastAsia="en-GB"/>
              </w:rPr>
              <w:t>95%</w:t>
            </w:r>
          </w:p>
        </w:tc>
        <w:tc>
          <w:tcPr>
            <w:tcW w:w="1562" w:type="dxa"/>
          </w:tcPr>
          <w:p w14:paraId="0C1E95AA" w14:textId="1337D602" w:rsidR="007710E6" w:rsidRDefault="00983FEA" w:rsidP="007710E6">
            <w:pPr>
              <w:pStyle w:val="ListParagraph"/>
              <w:tabs>
                <w:tab w:val="left" w:pos="567"/>
              </w:tabs>
              <w:spacing w:after="0" w:line="240" w:lineRule="auto"/>
              <w:ind w:left="0" w:right="-284"/>
              <w:rPr>
                <w:rFonts w:eastAsia="Times New Roman" w:cstheme="minorHAnsi"/>
                <w:lang w:eastAsia="en-GB"/>
              </w:rPr>
            </w:pPr>
            <w:r>
              <w:rPr>
                <w:rFonts w:eastAsia="Times New Roman" w:cstheme="minorHAnsi"/>
                <w:lang w:eastAsia="en-GB"/>
              </w:rPr>
              <w:t>92.78%</w:t>
            </w:r>
          </w:p>
        </w:tc>
      </w:tr>
    </w:tbl>
    <w:p w14:paraId="48504698" w14:textId="77777777" w:rsidR="002931D1" w:rsidRPr="002931D1" w:rsidRDefault="002931D1" w:rsidP="002931D1">
      <w:pPr>
        <w:pStyle w:val="ListParagraph"/>
        <w:tabs>
          <w:tab w:val="left" w:pos="567"/>
        </w:tabs>
        <w:spacing w:after="0" w:line="240" w:lineRule="auto"/>
        <w:ind w:left="567" w:right="-284"/>
        <w:rPr>
          <w:rFonts w:eastAsia="Times New Roman" w:cstheme="minorHAnsi"/>
          <w:lang w:eastAsia="en-GB"/>
        </w:rPr>
      </w:pPr>
    </w:p>
    <w:p w14:paraId="1C51211B" w14:textId="77777777" w:rsidR="002931D1" w:rsidRPr="002931D1" w:rsidRDefault="002931D1" w:rsidP="002931D1">
      <w:pPr>
        <w:tabs>
          <w:tab w:val="left" w:pos="567"/>
        </w:tabs>
        <w:spacing w:after="0" w:line="240" w:lineRule="auto"/>
        <w:ind w:right="-284"/>
        <w:rPr>
          <w:rFonts w:eastAsia="Times New Roman" w:cstheme="minorHAnsi"/>
          <w:lang w:eastAsia="en-GB"/>
        </w:rPr>
      </w:pPr>
    </w:p>
    <w:p w14:paraId="32786852" w14:textId="2672F65D" w:rsidR="002931D1" w:rsidRPr="009F4BAC" w:rsidRDefault="009F4BAC" w:rsidP="009F4BAC">
      <w:pPr>
        <w:pStyle w:val="ListParagraph"/>
        <w:numPr>
          <w:ilvl w:val="0"/>
          <w:numId w:val="11"/>
        </w:numPr>
        <w:tabs>
          <w:tab w:val="left" w:pos="284"/>
        </w:tabs>
        <w:spacing w:after="0" w:line="240" w:lineRule="auto"/>
        <w:ind w:right="-284"/>
        <w:rPr>
          <w:rFonts w:eastAsia="Times New Roman" w:cstheme="minorHAnsi"/>
          <w:lang w:eastAsia="en-GB"/>
        </w:rPr>
      </w:pPr>
      <w:r w:rsidRPr="009F4BAC">
        <w:rPr>
          <w:rFonts w:cstheme="minorHAnsi"/>
          <w:bCs/>
          <w:iCs/>
        </w:rPr>
        <w:t xml:space="preserve">Supplier payments remain below target but have seen </w:t>
      </w:r>
      <w:r w:rsidR="00983FEA">
        <w:rPr>
          <w:rFonts w:cstheme="minorHAnsi"/>
          <w:bCs/>
          <w:iCs/>
        </w:rPr>
        <w:t xml:space="preserve">consistent </w:t>
      </w:r>
      <w:r w:rsidRPr="009F4BAC">
        <w:rPr>
          <w:rFonts w:cstheme="minorHAnsi"/>
          <w:bCs/>
          <w:iCs/>
        </w:rPr>
        <w:t xml:space="preserve">improvement from last </w:t>
      </w:r>
      <w:r w:rsidRPr="00983FEA">
        <w:rPr>
          <w:rFonts w:cstheme="minorHAnsi"/>
          <w:bCs/>
          <w:iCs/>
        </w:rPr>
        <w:t>year (9</w:t>
      </w:r>
      <w:r w:rsidR="00983FEA" w:rsidRPr="00983FEA">
        <w:rPr>
          <w:rFonts w:cstheme="minorHAnsi"/>
          <w:bCs/>
          <w:iCs/>
        </w:rPr>
        <w:t>1.61</w:t>
      </w:r>
      <w:r w:rsidRPr="00983FEA">
        <w:rPr>
          <w:rFonts w:cstheme="minorHAnsi"/>
          <w:bCs/>
          <w:iCs/>
        </w:rPr>
        <w:t>%). The</w:t>
      </w:r>
      <w:r w:rsidRPr="009F4BAC">
        <w:rPr>
          <w:rFonts w:cstheme="minorHAnsi"/>
          <w:bCs/>
          <w:iCs/>
        </w:rPr>
        <w:t xml:space="preserve"> majority of payments exceeding the payment term timescale is due to teams not goods receiving and authorising in a timely manner. Where teams are late with Goods Received Note (GRN) and authorisations, they are being proactively contacted by </w:t>
      </w:r>
      <w:r w:rsidR="00983FEA">
        <w:rPr>
          <w:rFonts w:cstheme="minorHAnsi"/>
          <w:bCs/>
          <w:iCs/>
        </w:rPr>
        <w:t xml:space="preserve">the </w:t>
      </w:r>
      <w:r w:rsidRPr="009F4BAC">
        <w:rPr>
          <w:rFonts w:cstheme="minorHAnsi"/>
          <w:bCs/>
          <w:iCs/>
        </w:rPr>
        <w:t xml:space="preserve">Accounts Payable </w:t>
      </w:r>
      <w:r w:rsidR="00983FEA">
        <w:rPr>
          <w:rFonts w:cstheme="minorHAnsi"/>
          <w:bCs/>
          <w:iCs/>
        </w:rPr>
        <w:t xml:space="preserve">Team </w:t>
      </w:r>
      <w:r w:rsidRPr="009F4BAC">
        <w:rPr>
          <w:rFonts w:cstheme="minorHAnsi"/>
          <w:bCs/>
          <w:iCs/>
        </w:rPr>
        <w:t xml:space="preserve">to encourage </w:t>
      </w:r>
      <w:r w:rsidR="00983FEA">
        <w:rPr>
          <w:rFonts w:cstheme="minorHAnsi"/>
          <w:bCs/>
          <w:iCs/>
        </w:rPr>
        <w:t xml:space="preserve">more timely </w:t>
      </w:r>
      <w:r w:rsidRPr="009F4BAC">
        <w:rPr>
          <w:rFonts w:cstheme="minorHAnsi"/>
          <w:bCs/>
          <w:iCs/>
        </w:rPr>
        <w:t>action. Any teams that are repeatedly late without explanation are raised as an issue with the Director of Finance (S151 Officer)</w:t>
      </w:r>
      <w:r w:rsidR="00E36349">
        <w:rPr>
          <w:rFonts w:cstheme="minorHAnsi"/>
          <w:bCs/>
          <w:iCs/>
        </w:rPr>
        <w:t>.</w:t>
      </w:r>
    </w:p>
    <w:p w14:paraId="2C7D66F1" w14:textId="0104466F" w:rsidR="00CC18F9" w:rsidRPr="00CC18F9" w:rsidRDefault="004D2EA6" w:rsidP="00153954">
      <w:pPr>
        <w:spacing w:before="240"/>
        <w:rPr>
          <w:rFonts w:cs="Arial"/>
          <w:b/>
          <w:bCs/>
          <w:lang w:val="en-US"/>
        </w:rPr>
      </w:pPr>
      <w:r w:rsidRPr="00CC18F9">
        <w:rPr>
          <w:rFonts w:cs="Arial"/>
          <w:b/>
          <w:bCs/>
          <w:lang w:val="en-US"/>
        </w:rPr>
        <w:t xml:space="preserve">Licensing </w:t>
      </w:r>
    </w:p>
    <w:p w14:paraId="2CBDE732" w14:textId="7A676D97" w:rsidR="00715AAF" w:rsidRPr="00715AAF" w:rsidRDefault="004D2EA6" w:rsidP="00715AAF">
      <w:pPr>
        <w:pStyle w:val="ListParagraph"/>
        <w:numPr>
          <w:ilvl w:val="0"/>
          <w:numId w:val="11"/>
        </w:numPr>
        <w:rPr>
          <w:rFonts w:ascii="Arial" w:hAnsi="Arial" w:cs="Arial"/>
        </w:rPr>
      </w:pPr>
      <w:r w:rsidRPr="00C92DCF">
        <w:rPr>
          <w:rFonts w:cs="Arial"/>
        </w:rPr>
        <w:t>The Licensing department</w:t>
      </w:r>
      <w:r w:rsidRPr="00C92DCF">
        <w:rPr>
          <w:rFonts w:ascii="Arial" w:hAnsi="Arial" w:cs="Arial"/>
        </w:rPr>
        <w:t xml:space="preserve"> continues to develop and refine Licensing to ensure residents remain safe and secure when accessing regulated services. </w:t>
      </w:r>
    </w:p>
    <w:p w14:paraId="7DEEDB1F" w14:textId="77777777" w:rsidR="00513BEA" w:rsidRDefault="00513BEA" w:rsidP="00513BEA">
      <w:pPr>
        <w:pStyle w:val="ListParagraph"/>
        <w:ind w:left="360"/>
        <w:rPr>
          <w:rFonts w:ascii="Arial" w:hAnsi="Arial" w:cs="Arial"/>
        </w:rPr>
      </w:pPr>
    </w:p>
    <w:p w14:paraId="0D2C6C28" w14:textId="199C136F" w:rsidR="00C92DCF" w:rsidRPr="00C92DCF" w:rsidRDefault="004D2EA6" w:rsidP="006F1B33">
      <w:pPr>
        <w:rPr>
          <w:rFonts w:ascii="Arial" w:hAnsi="Arial" w:cs="Arial"/>
        </w:rPr>
      </w:pPr>
      <w:r w:rsidRPr="00853F7F">
        <w:rPr>
          <w:rFonts w:ascii="Arial" w:hAnsi="Arial" w:cs="Arial"/>
          <w:b/>
          <w:bCs/>
        </w:rPr>
        <w:t xml:space="preserve">Taxi Licensing Policy Changes </w:t>
      </w:r>
    </w:p>
    <w:p w14:paraId="40F0A405" w14:textId="77777777" w:rsidR="00683C0B" w:rsidRPr="00683C0B" w:rsidRDefault="004D2EA6" w:rsidP="00C92DCF">
      <w:pPr>
        <w:pStyle w:val="ListParagraph"/>
        <w:numPr>
          <w:ilvl w:val="0"/>
          <w:numId w:val="11"/>
        </w:numPr>
        <w:rPr>
          <w:rFonts w:cs="Arial"/>
        </w:rPr>
      </w:pPr>
      <w:r>
        <w:rPr>
          <w:rFonts w:cs="Arial"/>
        </w:rPr>
        <w:t>Officers and members have</w:t>
      </w:r>
      <w:r w:rsidR="00C92DCF" w:rsidRPr="00C92DCF">
        <w:rPr>
          <w:rFonts w:ascii="Arial" w:hAnsi="Arial" w:cs="Arial"/>
        </w:rPr>
        <w:t xml:space="preserve"> continued to review the Taxi Licensing Policy</w:t>
      </w:r>
      <w:r w:rsidR="00C92DCF" w:rsidRPr="00C92DCF">
        <w:rPr>
          <w:rFonts w:cs="Arial"/>
        </w:rPr>
        <w:t xml:space="preserve"> over the last 12 months</w:t>
      </w:r>
      <w:r>
        <w:rPr>
          <w:rFonts w:ascii="Arial" w:hAnsi="Arial" w:cs="Arial"/>
        </w:rPr>
        <w:t xml:space="preserve">. </w:t>
      </w:r>
    </w:p>
    <w:p w14:paraId="6AD1390B" w14:textId="77777777" w:rsidR="00683C0B" w:rsidRPr="00683C0B" w:rsidRDefault="00683C0B" w:rsidP="00683C0B">
      <w:pPr>
        <w:pStyle w:val="ListParagraph"/>
        <w:rPr>
          <w:rFonts w:cs="Arial"/>
        </w:rPr>
      </w:pPr>
    </w:p>
    <w:p w14:paraId="3EC81CBE" w14:textId="0230C215" w:rsidR="00C92DCF" w:rsidRPr="00C92DCF" w:rsidRDefault="004D2EA6" w:rsidP="00C92DCF">
      <w:pPr>
        <w:pStyle w:val="ListParagraph"/>
        <w:numPr>
          <w:ilvl w:val="0"/>
          <w:numId w:val="11"/>
        </w:numPr>
        <w:rPr>
          <w:rFonts w:cs="Arial"/>
        </w:rPr>
      </w:pPr>
      <w:r>
        <w:rPr>
          <w:rFonts w:cs="Arial"/>
        </w:rPr>
        <w:t>A</w:t>
      </w:r>
      <w:r w:rsidRPr="00C92DCF">
        <w:rPr>
          <w:rFonts w:cs="Arial"/>
        </w:rPr>
        <w:t xml:space="preserve"> new </w:t>
      </w:r>
      <w:r>
        <w:rPr>
          <w:rFonts w:cs="Arial"/>
        </w:rPr>
        <w:t xml:space="preserve">vehicle </w:t>
      </w:r>
      <w:r w:rsidRPr="00C92DCF">
        <w:rPr>
          <w:rFonts w:cs="Arial"/>
        </w:rPr>
        <w:t>age policy has been implemented that gives enthesis to the emission ratings of our licenced vehicles. This is the first time the authority has taken steps to limit higher polluting licenced vehicles by giving drivers an incentive to licence vehicle</w:t>
      </w:r>
      <w:r w:rsidR="00114B97">
        <w:rPr>
          <w:rFonts w:cs="Arial"/>
        </w:rPr>
        <w:t xml:space="preserve">s, </w:t>
      </w:r>
      <w:r w:rsidRPr="00C92DCF">
        <w:rPr>
          <w:rFonts w:cs="Arial"/>
        </w:rPr>
        <w:t>up to</w:t>
      </w:r>
      <w:r w:rsidR="00D11FF8">
        <w:rPr>
          <w:rFonts w:cs="Arial"/>
        </w:rPr>
        <w:t xml:space="preserve"> </w:t>
      </w:r>
      <w:r w:rsidR="00114B97">
        <w:rPr>
          <w:rFonts w:cs="Arial"/>
        </w:rPr>
        <w:t xml:space="preserve">4 </w:t>
      </w:r>
      <w:r w:rsidRPr="00C92DCF">
        <w:rPr>
          <w:rFonts w:cs="Arial"/>
        </w:rPr>
        <w:t xml:space="preserve">years </w:t>
      </w:r>
      <w:r w:rsidR="00D11FF8">
        <w:rPr>
          <w:rFonts w:cs="Arial"/>
        </w:rPr>
        <w:t xml:space="preserve">longer </w:t>
      </w:r>
      <w:r w:rsidRPr="00C92DCF">
        <w:rPr>
          <w:rFonts w:cs="Arial"/>
        </w:rPr>
        <w:t>if the vehicle is euro 6 rated</w:t>
      </w:r>
      <w:r w:rsidR="00D11FF8">
        <w:rPr>
          <w:rFonts w:cs="Arial"/>
        </w:rPr>
        <w:t xml:space="preserve"> for its level of emissions. </w:t>
      </w:r>
    </w:p>
    <w:p w14:paraId="35C4178C" w14:textId="77777777" w:rsidR="00C92DCF" w:rsidRPr="00C92DCF" w:rsidRDefault="00C92DCF" w:rsidP="00C92DCF">
      <w:pPr>
        <w:pStyle w:val="ListParagraph"/>
        <w:ind w:left="360"/>
        <w:rPr>
          <w:rFonts w:cs="Arial"/>
        </w:rPr>
      </w:pPr>
    </w:p>
    <w:p w14:paraId="1A31209F" w14:textId="66A38507" w:rsidR="00C92DCF" w:rsidRDefault="004D2EA6" w:rsidP="00C92DCF">
      <w:pPr>
        <w:pStyle w:val="ListParagraph"/>
        <w:numPr>
          <w:ilvl w:val="0"/>
          <w:numId w:val="11"/>
        </w:numPr>
        <w:rPr>
          <w:rFonts w:cs="Arial"/>
        </w:rPr>
      </w:pPr>
      <w:r w:rsidRPr="00C92DCF">
        <w:rPr>
          <w:rFonts w:cs="Arial"/>
        </w:rPr>
        <w:t xml:space="preserve">This policy has been a huge success which has seen vehicle proprietors start to replace their </w:t>
      </w:r>
      <w:r w:rsidR="00114B97">
        <w:rPr>
          <w:rFonts w:cs="Arial"/>
        </w:rPr>
        <w:t xml:space="preserve">old </w:t>
      </w:r>
      <w:r w:rsidRPr="00C92DCF">
        <w:rPr>
          <w:rFonts w:cs="Arial"/>
        </w:rPr>
        <w:t xml:space="preserve">vehicles with hybrid low polluting vehicles, 29 being added to the fleet already. </w:t>
      </w:r>
    </w:p>
    <w:p w14:paraId="6EE21B09" w14:textId="77777777" w:rsidR="00C92DCF" w:rsidRPr="00C92DCF" w:rsidRDefault="00C92DCF" w:rsidP="00C92DCF">
      <w:pPr>
        <w:pStyle w:val="ListParagraph"/>
        <w:ind w:left="360"/>
        <w:rPr>
          <w:rFonts w:cs="Arial"/>
        </w:rPr>
      </w:pPr>
    </w:p>
    <w:p w14:paraId="57984D8C" w14:textId="29DEED40" w:rsidR="00C92DCF" w:rsidRPr="0031180E" w:rsidRDefault="004D2EA6" w:rsidP="0031180E">
      <w:pPr>
        <w:pStyle w:val="ListParagraph"/>
        <w:numPr>
          <w:ilvl w:val="0"/>
          <w:numId w:val="11"/>
        </w:numPr>
        <w:rPr>
          <w:rFonts w:cs="Arial"/>
        </w:rPr>
      </w:pPr>
      <w:r w:rsidRPr="00C92DCF">
        <w:rPr>
          <w:rFonts w:cs="Arial"/>
        </w:rPr>
        <w:t xml:space="preserve">Additionally, </w:t>
      </w:r>
      <w:r w:rsidR="0031180E">
        <w:rPr>
          <w:rFonts w:cs="Arial"/>
        </w:rPr>
        <w:t xml:space="preserve">The </w:t>
      </w:r>
      <w:r w:rsidRPr="00C92DCF">
        <w:rPr>
          <w:rFonts w:cs="Arial"/>
        </w:rPr>
        <w:t xml:space="preserve">CCTV policy </w:t>
      </w:r>
      <w:r w:rsidR="0031180E">
        <w:rPr>
          <w:rFonts w:cs="Arial"/>
        </w:rPr>
        <w:t xml:space="preserve">has been </w:t>
      </w:r>
      <w:r w:rsidRPr="00C92DCF">
        <w:rPr>
          <w:rFonts w:cs="Arial"/>
        </w:rPr>
        <w:t>reviewed for the possibility of mandating CCTV within our licenced vehicles. Officers reported back from trade responses/ crime statistic and a public consultation</w:t>
      </w:r>
      <w:r w:rsidR="00F048F9">
        <w:rPr>
          <w:rFonts w:cs="Arial"/>
        </w:rPr>
        <w:t xml:space="preserve">, </w:t>
      </w:r>
      <w:r w:rsidRPr="00C92DCF">
        <w:rPr>
          <w:rFonts w:cs="Arial"/>
        </w:rPr>
        <w:t>that there w</w:t>
      </w:r>
      <w:r w:rsidR="0064593C">
        <w:rPr>
          <w:rFonts w:cs="Arial"/>
        </w:rPr>
        <w:t>ere</w:t>
      </w:r>
      <w:r w:rsidRPr="00C92DCF">
        <w:rPr>
          <w:rFonts w:cs="Arial"/>
        </w:rPr>
        <w:t xml:space="preserve"> no evidence base</w:t>
      </w:r>
      <w:r w:rsidR="0064593C">
        <w:rPr>
          <w:rFonts w:cs="Arial"/>
        </w:rPr>
        <w:t>s</w:t>
      </w:r>
      <w:r w:rsidRPr="00C92DCF">
        <w:rPr>
          <w:rFonts w:cs="Arial"/>
        </w:rPr>
        <w:t xml:space="preserve"> to mandate CCTV at this moment within licenced vehicles as per the guidance of the ICO. </w:t>
      </w:r>
      <w:r w:rsidRPr="0031180E">
        <w:rPr>
          <w:rFonts w:cs="Arial"/>
        </w:rPr>
        <w:t>A new policy has been created to allow for drivers to voluntarily have CCTV installed</w:t>
      </w:r>
      <w:r w:rsidR="00F048F9" w:rsidRPr="0031180E">
        <w:rPr>
          <w:rFonts w:cs="Arial"/>
        </w:rPr>
        <w:t xml:space="preserve">, </w:t>
      </w:r>
      <w:r w:rsidRPr="0031180E">
        <w:rPr>
          <w:rFonts w:cs="Arial"/>
        </w:rPr>
        <w:t>with a new criterion for permitted system</w:t>
      </w:r>
      <w:r w:rsidR="0031180E" w:rsidRPr="0031180E">
        <w:rPr>
          <w:rFonts w:cs="Arial"/>
        </w:rPr>
        <w:t xml:space="preserve"> types, complaint with </w:t>
      </w:r>
      <w:r w:rsidR="0064593C">
        <w:rPr>
          <w:rFonts w:cs="Arial"/>
        </w:rPr>
        <w:t>d</w:t>
      </w:r>
      <w:r w:rsidR="0031180E" w:rsidRPr="0031180E">
        <w:rPr>
          <w:rFonts w:cs="Arial"/>
        </w:rPr>
        <w:t>ata protection</w:t>
      </w:r>
      <w:r w:rsidR="0064593C">
        <w:rPr>
          <w:rFonts w:cs="Arial"/>
        </w:rPr>
        <w:t xml:space="preserve"> requirements. </w:t>
      </w:r>
    </w:p>
    <w:p w14:paraId="44D52AC9" w14:textId="77777777" w:rsidR="00F048F9" w:rsidRPr="00F048F9" w:rsidRDefault="00F048F9" w:rsidP="00F048F9">
      <w:pPr>
        <w:pStyle w:val="ListParagraph"/>
        <w:rPr>
          <w:rFonts w:cs="Arial"/>
        </w:rPr>
      </w:pPr>
    </w:p>
    <w:p w14:paraId="1E511EB3" w14:textId="6855AEDF" w:rsidR="001D18F1" w:rsidRDefault="004D2EA6" w:rsidP="001D18F1">
      <w:pPr>
        <w:pStyle w:val="ListParagraph"/>
        <w:numPr>
          <w:ilvl w:val="0"/>
          <w:numId w:val="11"/>
        </w:numPr>
        <w:rPr>
          <w:rFonts w:cs="Arial"/>
          <w:b/>
          <w:bCs/>
        </w:rPr>
      </w:pPr>
      <w:r w:rsidRPr="001D18F1">
        <w:rPr>
          <w:rFonts w:cs="Arial"/>
        </w:rPr>
        <w:t>Our Taxi Licensing Policy is robust and up to date, with all the requirements set out by the Department for Transport (DFT) statutory standards, in place within our policy</w:t>
      </w:r>
      <w:r>
        <w:rPr>
          <w:rFonts w:cs="Arial"/>
          <w:b/>
          <w:bCs/>
        </w:rPr>
        <w:t xml:space="preserve">. </w:t>
      </w:r>
    </w:p>
    <w:p w14:paraId="08550853" w14:textId="77777777" w:rsidR="001D18F1" w:rsidRDefault="001D18F1" w:rsidP="001D18F1">
      <w:pPr>
        <w:pStyle w:val="ListParagraph"/>
        <w:ind w:left="360"/>
        <w:rPr>
          <w:rFonts w:cs="Arial"/>
          <w:b/>
          <w:bCs/>
        </w:rPr>
      </w:pPr>
    </w:p>
    <w:p w14:paraId="29137306" w14:textId="60BD0394" w:rsidR="001D18F1" w:rsidRDefault="004D2EA6" w:rsidP="001D18F1">
      <w:pPr>
        <w:pStyle w:val="ListParagraph"/>
        <w:numPr>
          <w:ilvl w:val="0"/>
          <w:numId w:val="11"/>
        </w:numPr>
        <w:rPr>
          <w:rFonts w:cs="Arial"/>
        </w:rPr>
      </w:pPr>
      <w:r w:rsidRPr="001D18F1">
        <w:rPr>
          <w:rFonts w:cs="Arial"/>
        </w:rPr>
        <w:t xml:space="preserve">Officers hold </w:t>
      </w:r>
      <w:r w:rsidR="00E03E65">
        <w:rPr>
          <w:rFonts w:cs="Arial"/>
        </w:rPr>
        <w:t>q</w:t>
      </w:r>
      <w:r w:rsidRPr="001D18F1">
        <w:rPr>
          <w:rFonts w:cs="Arial"/>
        </w:rPr>
        <w:t xml:space="preserve">uarterly </w:t>
      </w:r>
      <w:r w:rsidR="00E03E65">
        <w:rPr>
          <w:rFonts w:cs="Arial"/>
        </w:rPr>
        <w:t>“</w:t>
      </w:r>
      <w:r w:rsidRPr="001D18F1">
        <w:rPr>
          <w:rFonts w:cs="Arial"/>
        </w:rPr>
        <w:t>Taxi Trade Forums</w:t>
      </w:r>
      <w:r w:rsidR="00E03E65">
        <w:rPr>
          <w:rFonts w:cs="Arial"/>
        </w:rPr>
        <w:t>”</w:t>
      </w:r>
      <w:r w:rsidRPr="001D18F1">
        <w:rPr>
          <w:rFonts w:cs="Arial"/>
        </w:rPr>
        <w:t xml:space="preserve">, potential changes to policy are discussed and trade representatives bring issues to discuss.  These forums are officer lead, but also allow for members to attend and engage with the trade representatives.  </w:t>
      </w:r>
    </w:p>
    <w:p w14:paraId="7FA14B56" w14:textId="7BFE35A7" w:rsidR="00332A7D" w:rsidRDefault="00332A7D" w:rsidP="00255524">
      <w:pPr>
        <w:rPr>
          <w:rFonts w:cs="Arial"/>
        </w:rPr>
      </w:pPr>
      <w:r w:rsidRPr="00332A7D">
        <w:rPr>
          <w:rFonts w:cs="Arial"/>
          <w:b/>
          <w:bCs/>
        </w:rPr>
        <w:t>Taxi Licensing Hearings</w:t>
      </w:r>
    </w:p>
    <w:p w14:paraId="5110C1F2" w14:textId="62F41C2F" w:rsidR="00332A7D" w:rsidRPr="001D18F1" w:rsidRDefault="00332A7D" w:rsidP="00332A7D">
      <w:pPr>
        <w:pStyle w:val="ListParagraph"/>
        <w:numPr>
          <w:ilvl w:val="0"/>
          <w:numId w:val="11"/>
        </w:numPr>
        <w:rPr>
          <w:rFonts w:cs="Arial"/>
        </w:rPr>
      </w:pPr>
      <w:r>
        <w:rPr>
          <w:rFonts w:cs="Arial"/>
        </w:rPr>
        <w:t>The General Licensing Sub Committee have determined</w:t>
      </w:r>
      <w:r w:rsidR="004D2EA6">
        <w:rPr>
          <w:rFonts w:cs="Arial"/>
        </w:rPr>
        <w:t>,</w:t>
      </w:r>
      <w:r>
        <w:rPr>
          <w:rFonts w:cs="Arial"/>
        </w:rPr>
        <w:t xml:space="preserve"> 6 new driver applications over the last 12 months, where the applicants have either had relevant convictions, driv</w:t>
      </w:r>
      <w:r w:rsidR="00FB725C">
        <w:rPr>
          <w:rFonts w:cs="Arial"/>
        </w:rPr>
        <w:t>ing offences</w:t>
      </w:r>
      <w:r>
        <w:rPr>
          <w:rFonts w:cs="Arial"/>
        </w:rPr>
        <w:t xml:space="preserve"> or licensing offences</w:t>
      </w:r>
      <w:r w:rsidR="004D2EA6">
        <w:rPr>
          <w:rFonts w:cs="Arial"/>
        </w:rPr>
        <w:t xml:space="preserve"> </w:t>
      </w:r>
      <w:r w:rsidR="00FB725C">
        <w:rPr>
          <w:rFonts w:cs="Arial"/>
        </w:rPr>
        <w:t xml:space="preserve">that trigger the Taxi </w:t>
      </w:r>
      <w:r w:rsidR="004D2EA6">
        <w:rPr>
          <w:rFonts w:cs="Arial"/>
        </w:rPr>
        <w:t>L</w:t>
      </w:r>
      <w:r w:rsidR="00FB725C">
        <w:rPr>
          <w:rFonts w:cs="Arial"/>
        </w:rPr>
        <w:t xml:space="preserve">icensing </w:t>
      </w:r>
      <w:r w:rsidR="004D2EA6">
        <w:rPr>
          <w:rFonts w:cs="Arial"/>
        </w:rPr>
        <w:t>P</w:t>
      </w:r>
      <w:r w:rsidR="00FB725C">
        <w:rPr>
          <w:rFonts w:cs="Arial"/>
        </w:rPr>
        <w:t>olicy.  T</w:t>
      </w:r>
      <w:r>
        <w:rPr>
          <w:rFonts w:cs="Arial"/>
        </w:rPr>
        <w:t xml:space="preserve">he committee have determined each application on their own merits and determined the “fit and proper status” of the applicants before them. </w:t>
      </w:r>
    </w:p>
    <w:p w14:paraId="7A17042D" w14:textId="77777777" w:rsidR="0031180E" w:rsidRPr="00134677" w:rsidRDefault="004D2EA6" w:rsidP="0031180E">
      <w:pPr>
        <w:rPr>
          <w:b/>
          <w:bCs/>
        </w:rPr>
      </w:pPr>
      <w:r w:rsidRPr="00134677">
        <w:rPr>
          <w:b/>
          <w:bCs/>
        </w:rPr>
        <w:t xml:space="preserve">Premises Licensing </w:t>
      </w:r>
    </w:p>
    <w:p w14:paraId="4B72CD96" w14:textId="7BA5BD78" w:rsidR="0031180E" w:rsidRDefault="004D2EA6" w:rsidP="001D18F1">
      <w:pPr>
        <w:pStyle w:val="ListParagraph"/>
        <w:numPr>
          <w:ilvl w:val="0"/>
          <w:numId w:val="11"/>
        </w:numPr>
      </w:pPr>
      <w:r>
        <w:t xml:space="preserve">Officers conduct a regular regime of premises licence inspections, often conducted with various agencies including Police, Trading Standards and Environmental Health Officers. </w:t>
      </w:r>
    </w:p>
    <w:p w14:paraId="6FD15FC9" w14:textId="59C11744" w:rsidR="001D18F1" w:rsidRDefault="00FB725C" w:rsidP="00FB725C">
      <w:r w:rsidRPr="00FB725C">
        <w:rPr>
          <w:b/>
          <w:bCs/>
        </w:rPr>
        <w:t>Premises Licence Reviews</w:t>
      </w:r>
    </w:p>
    <w:p w14:paraId="13F2BBE7" w14:textId="77777777" w:rsidR="00FB725C" w:rsidRDefault="004D2EA6" w:rsidP="00782DF2">
      <w:pPr>
        <w:pStyle w:val="ListParagraph"/>
        <w:numPr>
          <w:ilvl w:val="0"/>
          <w:numId w:val="11"/>
        </w:numPr>
      </w:pPr>
      <w:r>
        <w:t xml:space="preserve">Test purchase exercises are regularly performed jointly with the police and trading standards for underage sales of alcohol. </w:t>
      </w:r>
    </w:p>
    <w:p w14:paraId="621F3873" w14:textId="77777777" w:rsidR="00FB725C" w:rsidRDefault="00FB725C" w:rsidP="00FB725C">
      <w:pPr>
        <w:pStyle w:val="ListParagraph"/>
      </w:pPr>
    </w:p>
    <w:p w14:paraId="5F2F17A1" w14:textId="1DD51E29" w:rsidR="002238C2" w:rsidRDefault="004D2EA6" w:rsidP="00782DF2">
      <w:pPr>
        <w:pStyle w:val="ListParagraph"/>
        <w:numPr>
          <w:ilvl w:val="0"/>
          <w:numId w:val="11"/>
        </w:numPr>
      </w:pPr>
      <w:r>
        <w:t>These joint visits have resulted in a review of a premises licence in July 2023, following alcohol being sold to a 16 and 17-year-old and Knives sold to a 13-year-old. These failed test purchases were in addition to noncompliance of licensing conditions observed during follow up visits by our officers.  This resulted in the licence being</w:t>
      </w:r>
      <w:r w:rsidR="00782DF2">
        <w:t xml:space="preserve"> reviewed, a</w:t>
      </w:r>
      <w:r>
        <w:t xml:space="preserve"> suspen</w:t>
      </w:r>
      <w:r w:rsidR="00782DF2">
        <w:t>sion</w:t>
      </w:r>
      <w:r>
        <w:t xml:space="preserve"> for 2 months </w:t>
      </w:r>
      <w:r w:rsidR="00782DF2">
        <w:t>imposed by members of the licensing panel with strict</w:t>
      </w:r>
      <w:r>
        <w:t xml:space="preserve"> stringent conditions added to the licence. </w:t>
      </w:r>
    </w:p>
    <w:p w14:paraId="7003DC80" w14:textId="77777777" w:rsidR="002238C2" w:rsidRDefault="002238C2" w:rsidP="002238C2">
      <w:pPr>
        <w:pStyle w:val="ListParagraph"/>
        <w:ind w:left="360"/>
      </w:pPr>
    </w:p>
    <w:p w14:paraId="4BC7CBF6" w14:textId="7ACF86A1" w:rsidR="0017209E" w:rsidRDefault="00B90333" w:rsidP="001D18F1">
      <w:pPr>
        <w:pStyle w:val="ListParagraph"/>
        <w:numPr>
          <w:ilvl w:val="0"/>
          <w:numId w:val="11"/>
        </w:numPr>
      </w:pPr>
      <w:r>
        <w:t>Officers</w:t>
      </w:r>
      <w:r w:rsidR="004D2EA6">
        <w:t xml:space="preserve"> often perform multiple joint</w:t>
      </w:r>
      <w:r w:rsidR="00782DF2">
        <w:t xml:space="preserve"> premises </w:t>
      </w:r>
      <w:r w:rsidR="004D2EA6">
        <w:t>visits with the Immigration Service</w:t>
      </w:r>
      <w:r w:rsidR="00782DF2">
        <w:t>. A</w:t>
      </w:r>
      <w:r w:rsidR="004D2EA6">
        <w:t>gain, these visits have resulted in a review of a premises licence in January 2024, where a premises had been caught with illegal workers, in additional the premises had also sold a knife to an underage test purchase volunteer. This resulted in the licence being suspended for 28 days with stringent conditions added to the licence.</w:t>
      </w:r>
    </w:p>
    <w:p w14:paraId="3AA3E06C" w14:textId="51B92E14" w:rsidR="00782DF2" w:rsidRPr="00255524" w:rsidRDefault="00FB725C" w:rsidP="00FB725C">
      <w:pPr>
        <w:rPr>
          <w:b/>
          <w:bCs/>
        </w:rPr>
      </w:pPr>
      <w:r w:rsidRPr="00255524">
        <w:rPr>
          <w:b/>
          <w:bCs/>
        </w:rPr>
        <w:lastRenderedPageBreak/>
        <w:t xml:space="preserve">Premises Licence Hearing </w:t>
      </w:r>
      <w:r w:rsidR="00A17ABA" w:rsidRPr="00255524">
        <w:rPr>
          <w:b/>
          <w:bCs/>
        </w:rPr>
        <w:t>(new</w:t>
      </w:r>
      <w:r w:rsidRPr="00255524">
        <w:rPr>
          <w:b/>
          <w:bCs/>
        </w:rPr>
        <w:t xml:space="preserve"> applications and variations). </w:t>
      </w:r>
    </w:p>
    <w:p w14:paraId="03A52761" w14:textId="603689AA" w:rsidR="00FB725C" w:rsidRDefault="00FB725C" w:rsidP="00A17ABA">
      <w:pPr>
        <w:pStyle w:val="ListParagraph"/>
        <w:numPr>
          <w:ilvl w:val="0"/>
          <w:numId w:val="11"/>
        </w:numPr>
      </w:pPr>
      <w:r>
        <w:t xml:space="preserve">The Licensing Panel have determined 3 new premises licence applications where relevant objections have been received from members of the public. </w:t>
      </w:r>
    </w:p>
    <w:p w14:paraId="7E0978F9" w14:textId="77777777" w:rsidR="00A17ABA" w:rsidRDefault="00A17ABA" w:rsidP="00A17ABA">
      <w:pPr>
        <w:pStyle w:val="ListParagraph"/>
        <w:ind w:left="360"/>
      </w:pPr>
    </w:p>
    <w:p w14:paraId="00CDA92B" w14:textId="34BE4064" w:rsidR="00A17ABA" w:rsidRDefault="00A17ABA" w:rsidP="00A17ABA">
      <w:pPr>
        <w:pStyle w:val="ListParagraph"/>
        <w:numPr>
          <w:ilvl w:val="0"/>
          <w:numId w:val="11"/>
        </w:numPr>
      </w:pPr>
      <w:r>
        <w:t xml:space="preserve">All 3 licences were granted with conditions imposed by members of the licensing panel. </w:t>
      </w:r>
    </w:p>
    <w:p w14:paraId="095C44C1" w14:textId="625D54D5" w:rsidR="0017209E" w:rsidRDefault="004D2EA6" w:rsidP="0017209E">
      <w:r w:rsidRPr="0017209E">
        <w:rPr>
          <w:b/>
          <w:bCs/>
        </w:rPr>
        <w:t xml:space="preserve">Scrap Metal licensing </w:t>
      </w:r>
      <w:r w:rsidR="0031180E" w:rsidRPr="0017209E">
        <w:rPr>
          <w:b/>
          <w:bCs/>
        </w:rPr>
        <w:t xml:space="preserve"> </w:t>
      </w:r>
    </w:p>
    <w:p w14:paraId="7E334B3B" w14:textId="77777777" w:rsidR="0017209E" w:rsidRDefault="004D2EA6" w:rsidP="0017209E">
      <w:pPr>
        <w:pStyle w:val="ListParagraph"/>
        <w:numPr>
          <w:ilvl w:val="0"/>
          <w:numId w:val="11"/>
        </w:numPr>
        <w:rPr>
          <w:rFonts w:cs="Arial"/>
        </w:rPr>
      </w:pPr>
      <w:r w:rsidRPr="0017209E">
        <w:rPr>
          <w:rFonts w:cs="Arial"/>
        </w:rPr>
        <w:t>Officers took part in a multi-agency operation called Operation vertebrae during the week 17-21 July 2023, which included the Police, DVSA, Environment Agency, Immigration Enforcement and Border Force.</w:t>
      </w:r>
    </w:p>
    <w:p w14:paraId="722DF374" w14:textId="77777777" w:rsidR="0017209E" w:rsidRPr="0017209E" w:rsidRDefault="0017209E" w:rsidP="0017209E">
      <w:pPr>
        <w:pStyle w:val="ListParagraph"/>
        <w:ind w:left="360"/>
        <w:rPr>
          <w:rFonts w:cs="Arial"/>
        </w:rPr>
      </w:pPr>
    </w:p>
    <w:p w14:paraId="48AF54FD" w14:textId="026D0BD2" w:rsidR="0017209E" w:rsidRDefault="004D2EA6" w:rsidP="0017209E">
      <w:pPr>
        <w:pStyle w:val="ListParagraph"/>
        <w:numPr>
          <w:ilvl w:val="0"/>
          <w:numId w:val="11"/>
        </w:numPr>
      </w:pPr>
      <w:r w:rsidRPr="0017209E">
        <w:rPr>
          <w:rFonts w:cs="Arial"/>
        </w:rPr>
        <w:t xml:space="preserve">Operation Vertebrae aimed to disrupt organised crime by targeting drivers of various illegal commercial vehicles. Our officer’s inclusion was to aid the police, to seek </w:t>
      </w:r>
      <w:r w:rsidR="00EF254B">
        <w:rPr>
          <w:rFonts w:cs="Arial"/>
        </w:rPr>
        <w:t xml:space="preserve">potential </w:t>
      </w:r>
      <w:r w:rsidRPr="0017209E">
        <w:rPr>
          <w:rFonts w:cs="Arial"/>
        </w:rPr>
        <w:t xml:space="preserve">illegal scrap metal dealers and unsafe taxis, both out in the borough with the police and to complete multi-agency roadside enforcement checks at Lancashire DVSA Tier 1 check site, at the M65 Bamber bridge junction. </w:t>
      </w:r>
    </w:p>
    <w:p w14:paraId="6490E6C1" w14:textId="77777777" w:rsidR="002238C2" w:rsidRDefault="002238C2" w:rsidP="002238C2">
      <w:pPr>
        <w:pStyle w:val="ListParagraph"/>
      </w:pPr>
    </w:p>
    <w:p w14:paraId="25F1627E" w14:textId="77777777" w:rsidR="002238C2" w:rsidRPr="0031180E" w:rsidRDefault="004D2EA6" w:rsidP="002238C2">
      <w:pPr>
        <w:pStyle w:val="ListParagraph"/>
        <w:numPr>
          <w:ilvl w:val="0"/>
          <w:numId w:val="11"/>
        </w:numPr>
        <w:rPr>
          <w:rFonts w:cs="Arial"/>
        </w:rPr>
      </w:pPr>
      <w:r>
        <w:t>The service has in place a business plan to set out the key actions it will deliver of the year. The table below provides an update on those key actions:</w:t>
      </w:r>
    </w:p>
    <w:p w14:paraId="6B0CF26B" w14:textId="77777777" w:rsidR="00CC18F9" w:rsidRDefault="00CC18F9" w:rsidP="00CC18F9">
      <w:pPr>
        <w:rPr>
          <w:rFonts w:cs="Arial"/>
          <w:b/>
          <w:bCs/>
          <w:u w:val="single"/>
          <w:lang w:val="en-US"/>
        </w:rPr>
      </w:pPr>
    </w:p>
    <w:tbl>
      <w:tblPr>
        <w:tblStyle w:val="TableGrid"/>
        <w:tblW w:w="9067" w:type="dxa"/>
        <w:tblInd w:w="567" w:type="dxa"/>
        <w:tblLook w:val="04A0" w:firstRow="1" w:lastRow="0" w:firstColumn="1" w:lastColumn="0" w:noHBand="0" w:noVBand="1"/>
      </w:tblPr>
      <w:tblGrid>
        <w:gridCol w:w="4106"/>
        <w:gridCol w:w="4961"/>
      </w:tblGrid>
      <w:tr w:rsidR="005C0259" w14:paraId="10FF3086" w14:textId="77777777" w:rsidTr="0031180E">
        <w:tc>
          <w:tcPr>
            <w:tcW w:w="4106" w:type="dxa"/>
          </w:tcPr>
          <w:p w14:paraId="5EF00200" w14:textId="77777777" w:rsidR="00CC18F9" w:rsidRPr="009A31AE" w:rsidRDefault="004D2EA6" w:rsidP="00B379E7">
            <w:pPr>
              <w:pStyle w:val="ListParagraph"/>
              <w:tabs>
                <w:tab w:val="left" w:pos="567"/>
              </w:tabs>
              <w:spacing w:after="0" w:line="240" w:lineRule="auto"/>
              <w:ind w:left="0" w:right="-284"/>
              <w:rPr>
                <w:rFonts w:eastAsia="Times New Roman" w:cstheme="minorHAnsi"/>
                <w:b/>
                <w:bCs/>
                <w:lang w:eastAsia="en-GB"/>
              </w:rPr>
            </w:pPr>
            <w:r w:rsidRPr="009A31AE">
              <w:rPr>
                <w:b/>
                <w:bCs/>
              </w:rPr>
              <w:t xml:space="preserve">Key </w:t>
            </w:r>
            <w:r>
              <w:rPr>
                <w:b/>
                <w:bCs/>
              </w:rPr>
              <w:t>actions</w:t>
            </w:r>
          </w:p>
        </w:tc>
        <w:tc>
          <w:tcPr>
            <w:tcW w:w="4961" w:type="dxa"/>
          </w:tcPr>
          <w:p w14:paraId="388993FD" w14:textId="77777777" w:rsidR="00CC18F9" w:rsidRPr="009A31AE" w:rsidRDefault="004D2EA6" w:rsidP="00B379E7">
            <w:pPr>
              <w:pStyle w:val="ListParagraph"/>
              <w:tabs>
                <w:tab w:val="left" w:pos="567"/>
              </w:tabs>
              <w:spacing w:after="0" w:line="240" w:lineRule="auto"/>
              <w:ind w:left="0" w:right="-284"/>
              <w:rPr>
                <w:rFonts w:eastAsia="Times New Roman" w:cstheme="minorHAnsi"/>
                <w:b/>
                <w:bCs/>
                <w:lang w:eastAsia="en-GB"/>
              </w:rPr>
            </w:pPr>
            <w:r>
              <w:rPr>
                <w:b/>
                <w:bCs/>
              </w:rPr>
              <w:t>Update</w:t>
            </w:r>
          </w:p>
        </w:tc>
      </w:tr>
      <w:tr w:rsidR="005C0259" w14:paraId="3EC330F7" w14:textId="77777777" w:rsidTr="0031180E">
        <w:tc>
          <w:tcPr>
            <w:tcW w:w="4106" w:type="dxa"/>
          </w:tcPr>
          <w:p w14:paraId="2AE154DF" w14:textId="77777777" w:rsidR="00CC18F9" w:rsidRPr="0031180E" w:rsidRDefault="004D2EA6" w:rsidP="00CC18F9">
            <w:pPr>
              <w:rPr>
                <w:rFonts w:cstheme="minorHAnsi"/>
                <w:sz w:val="20"/>
                <w:szCs w:val="20"/>
                <w:lang w:val="en-US"/>
              </w:rPr>
            </w:pPr>
            <w:r w:rsidRPr="0031180E">
              <w:rPr>
                <w:rFonts w:cstheme="minorHAnsi"/>
                <w:sz w:val="20"/>
                <w:szCs w:val="20"/>
                <w:lang w:val="en-US"/>
              </w:rPr>
              <w:t xml:space="preserve">Deliver additional mandatory face to face tutor led, training package for all licensed drivers, incorporating CSE, CCE, County Lines. </w:t>
            </w:r>
          </w:p>
          <w:p w14:paraId="1FA8E004" w14:textId="77777777" w:rsidR="0031180E" w:rsidRPr="0031180E" w:rsidRDefault="0031180E" w:rsidP="00CC18F9">
            <w:pPr>
              <w:rPr>
                <w:rFonts w:cstheme="minorHAnsi"/>
                <w:sz w:val="20"/>
                <w:szCs w:val="20"/>
                <w:lang w:val="en-US"/>
              </w:rPr>
            </w:pPr>
          </w:p>
          <w:p w14:paraId="64EF9DC8" w14:textId="77777777" w:rsidR="0031180E" w:rsidRDefault="004D2EA6" w:rsidP="0031180E">
            <w:pPr>
              <w:rPr>
                <w:rFonts w:cstheme="minorHAnsi"/>
                <w:sz w:val="20"/>
                <w:szCs w:val="20"/>
              </w:rPr>
            </w:pPr>
            <w:r w:rsidRPr="0031180E">
              <w:rPr>
                <w:rFonts w:cstheme="minorHAnsi"/>
                <w:sz w:val="20"/>
                <w:szCs w:val="20"/>
              </w:rPr>
              <w:t>Licenced Taxi and Private Hire Drivers form a crucial part in safeguarding vulnerable people, by being the eyes and ears of the community, providing potentially important information to authorities.</w:t>
            </w:r>
          </w:p>
          <w:p w14:paraId="7E0C65BD" w14:textId="77777777" w:rsidR="00715AAF" w:rsidRPr="0031180E" w:rsidRDefault="00715AAF" w:rsidP="0031180E">
            <w:pPr>
              <w:rPr>
                <w:rFonts w:cstheme="minorHAnsi"/>
                <w:sz w:val="20"/>
                <w:szCs w:val="20"/>
              </w:rPr>
            </w:pPr>
          </w:p>
          <w:p w14:paraId="28F52F77" w14:textId="09FC309B" w:rsidR="00CC18F9" w:rsidRPr="0031180E" w:rsidRDefault="00CC18F9" w:rsidP="00715AAF">
            <w:pPr>
              <w:rPr>
                <w:rFonts w:eastAsia="Times New Roman" w:cstheme="minorHAnsi"/>
                <w:sz w:val="20"/>
                <w:szCs w:val="20"/>
                <w:lang w:eastAsia="en-GB"/>
              </w:rPr>
            </w:pPr>
          </w:p>
        </w:tc>
        <w:tc>
          <w:tcPr>
            <w:tcW w:w="4961" w:type="dxa"/>
          </w:tcPr>
          <w:p w14:paraId="73321CED" w14:textId="21B5DA6E" w:rsidR="00CC18F9" w:rsidRPr="0031180E" w:rsidRDefault="004D2EA6" w:rsidP="00CC18F9">
            <w:pPr>
              <w:rPr>
                <w:rFonts w:eastAsia="Times New Roman" w:cstheme="minorHAnsi"/>
                <w:sz w:val="20"/>
                <w:szCs w:val="20"/>
              </w:rPr>
            </w:pPr>
            <w:r w:rsidRPr="0031180E">
              <w:rPr>
                <w:rFonts w:cstheme="minorHAnsi"/>
                <w:sz w:val="20"/>
                <w:szCs w:val="20"/>
              </w:rPr>
              <w:t>from April to June 2023</w:t>
            </w:r>
            <w:r>
              <w:rPr>
                <w:rFonts w:cstheme="minorHAnsi"/>
                <w:sz w:val="20"/>
                <w:szCs w:val="20"/>
              </w:rPr>
              <w:t>, a</w:t>
            </w:r>
            <w:r w:rsidR="00B91557" w:rsidRPr="0031180E">
              <w:rPr>
                <w:rFonts w:eastAsia="Times New Roman" w:cstheme="minorHAnsi"/>
                <w:sz w:val="20"/>
                <w:szCs w:val="20"/>
              </w:rPr>
              <w:t>ll</w:t>
            </w:r>
            <w:r w:rsidR="00B91557" w:rsidRPr="0031180E">
              <w:rPr>
                <w:rFonts w:cstheme="minorHAnsi"/>
                <w:sz w:val="20"/>
                <w:szCs w:val="20"/>
              </w:rPr>
              <w:t xml:space="preserve"> licenced drivers</w:t>
            </w:r>
            <w:r>
              <w:rPr>
                <w:rFonts w:cstheme="minorHAnsi"/>
                <w:sz w:val="20"/>
                <w:szCs w:val="20"/>
              </w:rPr>
              <w:t xml:space="preserve"> were</w:t>
            </w:r>
            <w:r w:rsidR="00B91557" w:rsidRPr="0031180E">
              <w:rPr>
                <w:rFonts w:cstheme="minorHAnsi"/>
                <w:sz w:val="20"/>
                <w:szCs w:val="20"/>
              </w:rPr>
              <w:t xml:space="preserve"> put through </w:t>
            </w:r>
            <w:r w:rsidR="009176E8" w:rsidRPr="0031180E">
              <w:rPr>
                <w:rFonts w:cstheme="minorHAnsi"/>
                <w:sz w:val="20"/>
                <w:szCs w:val="20"/>
              </w:rPr>
              <w:t xml:space="preserve">a </w:t>
            </w:r>
            <w:r w:rsidR="00B91557" w:rsidRPr="0031180E">
              <w:rPr>
                <w:rFonts w:cstheme="minorHAnsi"/>
                <w:sz w:val="20"/>
                <w:szCs w:val="20"/>
              </w:rPr>
              <w:t>face-to-face mandatory Child Sexual Exploitation (CSE)</w:t>
            </w:r>
            <w:r w:rsidR="009176E8" w:rsidRPr="0031180E">
              <w:rPr>
                <w:rFonts w:cstheme="minorHAnsi"/>
                <w:sz w:val="20"/>
                <w:szCs w:val="20"/>
              </w:rPr>
              <w:t xml:space="preserve">, </w:t>
            </w:r>
            <w:r w:rsidR="00B91557" w:rsidRPr="0031180E">
              <w:rPr>
                <w:rFonts w:cstheme="minorHAnsi"/>
                <w:sz w:val="20"/>
                <w:szCs w:val="20"/>
              </w:rPr>
              <w:t xml:space="preserve">Child Exploitation (CE) and County Lines training package provided </w:t>
            </w:r>
            <w:r>
              <w:rPr>
                <w:rFonts w:cstheme="minorHAnsi"/>
                <w:sz w:val="20"/>
                <w:szCs w:val="20"/>
              </w:rPr>
              <w:t xml:space="preserve">by a qualified external safeguarding training provider. </w:t>
            </w:r>
          </w:p>
          <w:p w14:paraId="648CA270" w14:textId="77777777" w:rsidR="00CC18F9" w:rsidRPr="0031180E" w:rsidRDefault="00CC18F9" w:rsidP="00742586">
            <w:pPr>
              <w:rPr>
                <w:rFonts w:eastAsia="Times New Roman" w:cstheme="minorHAnsi"/>
                <w:sz w:val="20"/>
                <w:szCs w:val="20"/>
              </w:rPr>
            </w:pPr>
          </w:p>
          <w:p w14:paraId="7C5CF6AB" w14:textId="36A62AE8" w:rsidR="00715AAF" w:rsidRDefault="004D2EA6" w:rsidP="00A72598">
            <w:pPr>
              <w:rPr>
                <w:rFonts w:eastAsia="Times New Roman" w:cstheme="minorHAnsi"/>
                <w:sz w:val="20"/>
                <w:szCs w:val="20"/>
              </w:rPr>
            </w:pPr>
            <w:r w:rsidRPr="0031180E">
              <w:rPr>
                <w:rFonts w:eastAsia="Times New Roman" w:cstheme="minorHAnsi"/>
                <w:sz w:val="20"/>
                <w:szCs w:val="20"/>
              </w:rPr>
              <w:t>The training</w:t>
            </w:r>
            <w:r w:rsidRPr="0031180E">
              <w:rPr>
                <w:rFonts w:cstheme="minorHAnsi"/>
                <w:sz w:val="20"/>
                <w:szCs w:val="20"/>
              </w:rPr>
              <w:t xml:space="preserve"> focused on identifying and correctly reporting safeguarding issues. </w:t>
            </w:r>
            <w:r w:rsidR="00A53EAF">
              <w:rPr>
                <w:rFonts w:cstheme="minorHAnsi"/>
                <w:sz w:val="20"/>
                <w:szCs w:val="20"/>
              </w:rPr>
              <w:t xml:space="preserve">With clear </w:t>
            </w:r>
            <w:r w:rsidR="002A07BA">
              <w:rPr>
                <w:rFonts w:cstheme="minorHAnsi"/>
                <w:sz w:val="20"/>
                <w:szCs w:val="20"/>
              </w:rPr>
              <w:t>guidance on</w:t>
            </w:r>
            <w:r w:rsidR="00A53EAF">
              <w:rPr>
                <w:rFonts w:cstheme="minorHAnsi"/>
                <w:sz w:val="20"/>
                <w:szCs w:val="20"/>
              </w:rPr>
              <w:t xml:space="preserve"> </w:t>
            </w:r>
            <w:r w:rsidR="00A53EAF" w:rsidRPr="0031180E">
              <w:rPr>
                <w:rFonts w:eastAsia="Times New Roman" w:cstheme="minorHAnsi"/>
                <w:sz w:val="20"/>
                <w:szCs w:val="20"/>
              </w:rPr>
              <w:t xml:space="preserve">whistle </w:t>
            </w:r>
            <w:r w:rsidR="0097369E" w:rsidRPr="0031180E">
              <w:rPr>
                <w:rFonts w:eastAsia="Times New Roman" w:cstheme="minorHAnsi"/>
                <w:sz w:val="20"/>
                <w:szCs w:val="20"/>
              </w:rPr>
              <w:t>blowing</w:t>
            </w:r>
            <w:r w:rsidR="0097369E">
              <w:rPr>
                <w:rFonts w:eastAsia="Times New Roman" w:cstheme="minorHAnsi"/>
                <w:sz w:val="20"/>
                <w:szCs w:val="20"/>
              </w:rPr>
              <w:t xml:space="preserve">, </w:t>
            </w:r>
            <w:r w:rsidR="0097369E" w:rsidRPr="0031180E">
              <w:rPr>
                <w:rFonts w:eastAsia="Times New Roman" w:cstheme="minorHAnsi"/>
                <w:sz w:val="20"/>
                <w:szCs w:val="20"/>
              </w:rPr>
              <w:t>for</w:t>
            </w:r>
            <w:r w:rsidR="00A53EAF" w:rsidRPr="0031180E">
              <w:rPr>
                <w:rFonts w:eastAsia="Times New Roman" w:cstheme="minorHAnsi"/>
                <w:sz w:val="20"/>
                <w:szCs w:val="20"/>
              </w:rPr>
              <w:t xml:space="preserve"> drivers to safely report any issues they </w:t>
            </w:r>
            <w:r w:rsidR="00A53EAF">
              <w:rPr>
                <w:rFonts w:eastAsia="Times New Roman" w:cstheme="minorHAnsi"/>
                <w:sz w:val="20"/>
                <w:szCs w:val="20"/>
              </w:rPr>
              <w:t xml:space="preserve">may </w:t>
            </w:r>
            <w:r w:rsidR="00A53EAF" w:rsidRPr="0031180E">
              <w:rPr>
                <w:rFonts w:eastAsia="Times New Roman" w:cstheme="minorHAnsi"/>
                <w:sz w:val="20"/>
                <w:szCs w:val="20"/>
              </w:rPr>
              <w:t>encounter.</w:t>
            </w:r>
          </w:p>
          <w:p w14:paraId="612AB734" w14:textId="1D85BB85" w:rsidR="00CC18F9" w:rsidRPr="0031180E" w:rsidRDefault="00CC18F9" w:rsidP="00A72598">
            <w:pPr>
              <w:rPr>
                <w:rFonts w:cstheme="minorHAnsi"/>
                <w:sz w:val="20"/>
                <w:szCs w:val="20"/>
              </w:rPr>
            </w:pPr>
          </w:p>
        </w:tc>
      </w:tr>
      <w:tr w:rsidR="005C0259" w14:paraId="6B74B508" w14:textId="77777777" w:rsidTr="0031180E">
        <w:tc>
          <w:tcPr>
            <w:tcW w:w="4106" w:type="dxa"/>
          </w:tcPr>
          <w:p w14:paraId="69302EB4" w14:textId="77777777" w:rsidR="0031180E" w:rsidRPr="0031180E" w:rsidRDefault="004D2EA6" w:rsidP="0031180E">
            <w:pPr>
              <w:rPr>
                <w:rFonts w:cs="Arial"/>
                <w:sz w:val="20"/>
                <w:szCs w:val="20"/>
                <w:lang w:val="en-US"/>
              </w:rPr>
            </w:pPr>
            <w:r w:rsidRPr="0031180E">
              <w:rPr>
                <w:rFonts w:cs="Arial"/>
                <w:sz w:val="20"/>
                <w:szCs w:val="20"/>
                <w:lang w:val="en-US"/>
              </w:rPr>
              <w:t xml:space="preserve">Implementation and delivery of the new in-house driver qualification.  Making a more convenient cost-effective alternative for the trade whilst looking to </w:t>
            </w:r>
            <w:r w:rsidRPr="0031180E">
              <w:rPr>
                <w:sz w:val="20"/>
                <w:szCs w:val="20"/>
              </w:rPr>
              <w:t>increase revenue for the department.</w:t>
            </w:r>
            <w:r w:rsidRPr="0031180E">
              <w:rPr>
                <w:rFonts w:cs="Arial"/>
                <w:sz w:val="20"/>
                <w:szCs w:val="20"/>
                <w:lang w:val="en-US"/>
              </w:rPr>
              <w:t xml:space="preserve"> </w:t>
            </w:r>
          </w:p>
          <w:p w14:paraId="5F752DE7" w14:textId="77777777" w:rsidR="0031180E" w:rsidRPr="0031180E" w:rsidRDefault="0031180E" w:rsidP="0031180E">
            <w:pPr>
              <w:rPr>
                <w:rFonts w:cs="Arial"/>
                <w:sz w:val="20"/>
                <w:szCs w:val="20"/>
                <w:lang w:val="en-US"/>
              </w:rPr>
            </w:pPr>
          </w:p>
          <w:p w14:paraId="73AB1014" w14:textId="1553C44B" w:rsidR="0031180E" w:rsidRPr="0031180E" w:rsidRDefault="004D2EA6" w:rsidP="0031180E">
            <w:pPr>
              <w:rPr>
                <w:rFonts w:cs="Arial"/>
                <w:sz w:val="20"/>
                <w:szCs w:val="20"/>
                <w:lang w:val="en-US"/>
              </w:rPr>
            </w:pPr>
            <w:r w:rsidRPr="0031180E">
              <w:rPr>
                <w:rFonts w:cs="Arial"/>
                <w:sz w:val="20"/>
                <w:szCs w:val="20"/>
                <w:lang w:val="en-US"/>
              </w:rPr>
              <w:t xml:space="preserve">The Taxi Licensing Policy requires all new applicants to either obtain a level 2 qualification or sit an in-house qualification before a </w:t>
            </w:r>
            <w:r w:rsidR="00B90333" w:rsidRPr="0031180E">
              <w:rPr>
                <w:rFonts w:cs="Arial"/>
                <w:sz w:val="20"/>
                <w:szCs w:val="20"/>
                <w:lang w:val="en-US"/>
              </w:rPr>
              <w:t>license</w:t>
            </w:r>
            <w:r w:rsidRPr="0031180E">
              <w:rPr>
                <w:rFonts w:cs="Arial"/>
                <w:sz w:val="20"/>
                <w:szCs w:val="20"/>
                <w:lang w:val="en-US"/>
              </w:rPr>
              <w:t xml:space="preserve"> can be issued. </w:t>
            </w:r>
          </w:p>
          <w:p w14:paraId="17AF7D77" w14:textId="77777777" w:rsidR="0031180E" w:rsidRPr="0031180E" w:rsidRDefault="0031180E" w:rsidP="0031180E">
            <w:pPr>
              <w:rPr>
                <w:rFonts w:cs="Arial"/>
                <w:sz w:val="20"/>
                <w:szCs w:val="20"/>
                <w:lang w:val="en-US"/>
              </w:rPr>
            </w:pPr>
          </w:p>
          <w:p w14:paraId="4B80ED2B" w14:textId="26A43A85" w:rsidR="0031180E" w:rsidRPr="0031180E" w:rsidRDefault="004D2EA6" w:rsidP="0031180E">
            <w:pPr>
              <w:rPr>
                <w:rFonts w:cs="Arial"/>
                <w:sz w:val="20"/>
                <w:szCs w:val="20"/>
                <w:lang w:val="en-US"/>
              </w:rPr>
            </w:pPr>
            <w:r w:rsidRPr="0031180E">
              <w:rPr>
                <w:rFonts w:cs="Arial"/>
                <w:sz w:val="20"/>
                <w:szCs w:val="20"/>
                <w:lang w:val="en-US"/>
              </w:rPr>
              <w:t xml:space="preserve">Operators and new applicants report that externally provided courses are hard to obtain and are often cancelled at the last minute if the numbers of participants are low. </w:t>
            </w:r>
          </w:p>
          <w:p w14:paraId="30C6F23C" w14:textId="0494B64C" w:rsidR="00CC18F9" w:rsidRPr="0031180E" w:rsidRDefault="00CC18F9" w:rsidP="00B379E7">
            <w:pPr>
              <w:pStyle w:val="ListParagraph"/>
              <w:tabs>
                <w:tab w:val="left" w:pos="567"/>
              </w:tabs>
              <w:spacing w:after="0" w:line="240" w:lineRule="auto"/>
              <w:ind w:left="0" w:right="-284"/>
              <w:rPr>
                <w:rFonts w:eastAsia="Times New Roman" w:cstheme="minorHAnsi"/>
                <w:sz w:val="20"/>
                <w:szCs w:val="20"/>
                <w:lang w:eastAsia="en-GB"/>
              </w:rPr>
            </w:pPr>
          </w:p>
        </w:tc>
        <w:tc>
          <w:tcPr>
            <w:tcW w:w="4961" w:type="dxa"/>
          </w:tcPr>
          <w:p w14:paraId="5BE390B2" w14:textId="31334A8C" w:rsidR="00A72598" w:rsidRPr="0031180E" w:rsidRDefault="004D2EA6" w:rsidP="00D12BDD">
            <w:pPr>
              <w:rPr>
                <w:sz w:val="20"/>
                <w:szCs w:val="20"/>
              </w:rPr>
            </w:pPr>
            <w:r w:rsidRPr="0031180E">
              <w:rPr>
                <w:rFonts w:cs="Arial"/>
                <w:sz w:val="20"/>
                <w:szCs w:val="20"/>
                <w:lang w:val="en-US"/>
              </w:rPr>
              <w:t xml:space="preserve">A new course has been created by officers. The course has been tailored </w:t>
            </w:r>
            <w:r w:rsidRPr="0031180E">
              <w:rPr>
                <w:sz w:val="20"/>
                <w:szCs w:val="20"/>
              </w:rPr>
              <w:t xml:space="preserve">to our requirements for </w:t>
            </w:r>
            <w:r w:rsidR="009176E8" w:rsidRPr="0031180E">
              <w:rPr>
                <w:sz w:val="20"/>
                <w:szCs w:val="20"/>
              </w:rPr>
              <w:t xml:space="preserve">new </w:t>
            </w:r>
            <w:r w:rsidRPr="0031180E">
              <w:rPr>
                <w:sz w:val="20"/>
                <w:szCs w:val="20"/>
              </w:rPr>
              <w:t>drivers licenced by this authority. The course includes an exam at the end of a full day’s training</w:t>
            </w:r>
            <w:r w:rsidR="002A07BA">
              <w:rPr>
                <w:sz w:val="20"/>
                <w:szCs w:val="20"/>
              </w:rPr>
              <w:t>.</w:t>
            </w:r>
            <w:r w:rsidR="009176E8" w:rsidRPr="0031180E">
              <w:rPr>
                <w:sz w:val="20"/>
                <w:szCs w:val="20"/>
              </w:rPr>
              <w:t xml:space="preserve"> </w:t>
            </w:r>
            <w:r w:rsidR="002A07BA">
              <w:rPr>
                <w:sz w:val="20"/>
                <w:szCs w:val="20"/>
              </w:rPr>
              <w:t xml:space="preserve">Officers give real life examples and </w:t>
            </w:r>
            <w:r w:rsidR="002A07BA">
              <w:rPr>
                <w:rFonts w:cs="Arial"/>
                <w:sz w:val="20"/>
                <w:szCs w:val="20"/>
              </w:rPr>
              <w:t xml:space="preserve">feedback from applicants is extremely positive. </w:t>
            </w:r>
          </w:p>
          <w:p w14:paraId="0E6706AD" w14:textId="77777777" w:rsidR="00742586" w:rsidRPr="0031180E" w:rsidRDefault="00742586" w:rsidP="00D12BDD">
            <w:pPr>
              <w:rPr>
                <w:rFonts w:cs="Arial"/>
                <w:sz w:val="20"/>
                <w:szCs w:val="20"/>
                <w:lang w:val="en-US"/>
              </w:rPr>
            </w:pPr>
          </w:p>
          <w:p w14:paraId="63DAFD14" w14:textId="246E3AE4" w:rsidR="00D12BDD" w:rsidRPr="0031180E" w:rsidRDefault="004D2EA6" w:rsidP="00D12BDD">
            <w:pPr>
              <w:rPr>
                <w:sz w:val="20"/>
                <w:szCs w:val="20"/>
              </w:rPr>
            </w:pPr>
            <w:r w:rsidRPr="0031180E">
              <w:rPr>
                <w:sz w:val="20"/>
                <w:szCs w:val="20"/>
              </w:rPr>
              <w:t>New drivers are able to obtain their badges quicker as they are not wating for the availability of external course providers. These applicants are often unemployed and need to obtain a licence as urgently as possible.</w:t>
            </w:r>
          </w:p>
          <w:p w14:paraId="17BEE641" w14:textId="27E3CA77" w:rsidR="00A72598" w:rsidRPr="0031180E" w:rsidRDefault="00A72598" w:rsidP="00D12BDD">
            <w:pPr>
              <w:rPr>
                <w:rFonts w:cs="Arial"/>
                <w:sz w:val="20"/>
                <w:szCs w:val="20"/>
              </w:rPr>
            </w:pPr>
          </w:p>
          <w:p w14:paraId="5B47C59B" w14:textId="54CBC00D" w:rsidR="00CC18F9" w:rsidRPr="0031180E" w:rsidRDefault="004D2EA6" w:rsidP="00A72598">
            <w:pPr>
              <w:rPr>
                <w:rFonts w:cs="Arial"/>
                <w:color w:val="FF0000"/>
                <w:sz w:val="20"/>
                <w:szCs w:val="20"/>
              </w:rPr>
            </w:pPr>
            <w:r w:rsidRPr="0031180E">
              <w:rPr>
                <w:rFonts w:cs="Arial"/>
                <w:sz w:val="20"/>
                <w:szCs w:val="20"/>
              </w:rPr>
              <w:t>The course is delivered on</w:t>
            </w:r>
            <w:r w:rsidR="002A07BA">
              <w:rPr>
                <w:rFonts w:cs="Arial"/>
                <w:sz w:val="20"/>
                <w:szCs w:val="20"/>
              </w:rPr>
              <w:t>c</w:t>
            </w:r>
            <w:r w:rsidRPr="0031180E">
              <w:rPr>
                <w:rFonts w:cs="Arial"/>
                <w:sz w:val="20"/>
                <w:szCs w:val="20"/>
              </w:rPr>
              <w:t>e a month and has been successfully run for 3 months so far</w:t>
            </w:r>
            <w:r w:rsidR="002A07BA">
              <w:rPr>
                <w:rFonts w:cs="Arial"/>
                <w:sz w:val="20"/>
                <w:szCs w:val="20"/>
              </w:rPr>
              <w:t xml:space="preserve">. </w:t>
            </w:r>
          </w:p>
        </w:tc>
      </w:tr>
      <w:tr w:rsidR="005C0259" w14:paraId="32045025" w14:textId="77777777" w:rsidTr="0031180E">
        <w:tc>
          <w:tcPr>
            <w:tcW w:w="4106" w:type="dxa"/>
          </w:tcPr>
          <w:p w14:paraId="7751D90E" w14:textId="709B2F11" w:rsidR="00CC18F9" w:rsidRPr="0031180E" w:rsidRDefault="004D2EA6" w:rsidP="00B379E7">
            <w:pPr>
              <w:pStyle w:val="ListParagraph"/>
              <w:tabs>
                <w:tab w:val="left" w:pos="567"/>
              </w:tabs>
              <w:spacing w:after="0" w:line="240" w:lineRule="auto"/>
              <w:ind w:left="0" w:right="-284"/>
              <w:rPr>
                <w:rFonts w:eastAsia="Times New Roman" w:cstheme="minorHAnsi"/>
                <w:sz w:val="20"/>
                <w:szCs w:val="20"/>
                <w:lang w:eastAsia="en-GB"/>
              </w:rPr>
            </w:pPr>
            <w:r w:rsidRPr="0031180E">
              <w:rPr>
                <w:rFonts w:cs="Arial"/>
                <w:sz w:val="20"/>
                <w:szCs w:val="20"/>
                <w:lang w:val="en-US"/>
              </w:rPr>
              <w:t xml:space="preserve">Taxi CCTV Policy Review – A report to be delivered to members of the Licensing and Public Safety Committee, outlining feedback of the recently conducted consultation of the </w:t>
            </w:r>
            <w:r w:rsidRPr="0031180E">
              <w:rPr>
                <w:rFonts w:cs="Arial"/>
                <w:sz w:val="20"/>
                <w:szCs w:val="20"/>
                <w:lang w:val="en-US"/>
              </w:rPr>
              <w:lastRenderedPageBreak/>
              <w:t>trade and members of the public. To investigate the possibility of mandating CCTV for all licensed vehicles. Ensuring the authority is compliant with the requirements of the ICO, regarding an evidence base for the requirement to mandate CCTV in all vehicles and the system requirements regarding DPA implications.</w:t>
            </w:r>
          </w:p>
        </w:tc>
        <w:tc>
          <w:tcPr>
            <w:tcW w:w="4961" w:type="dxa"/>
          </w:tcPr>
          <w:p w14:paraId="1A00F6AF" w14:textId="4AC6DFB1" w:rsidR="00CC18F9" w:rsidRPr="0031180E" w:rsidRDefault="004D2EA6" w:rsidP="00B379E7">
            <w:pPr>
              <w:pStyle w:val="ListParagraph"/>
              <w:tabs>
                <w:tab w:val="left" w:pos="567"/>
              </w:tabs>
              <w:spacing w:after="0" w:line="240" w:lineRule="auto"/>
              <w:ind w:left="0" w:right="-284"/>
              <w:rPr>
                <w:rFonts w:eastAsia="Times New Roman" w:cstheme="minorHAnsi"/>
                <w:sz w:val="20"/>
                <w:szCs w:val="20"/>
                <w:lang w:eastAsia="en-GB"/>
              </w:rPr>
            </w:pPr>
            <w:r>
              <w:rPr>
                <w:rFonts w:eastAsia="Times New Roman" w:cstheme="minorHAnsi"/>
                <w:sz w:val="20"/>
                <w:szCs w:val="20"/>
                <w:lang w:eastAsia="en-GB"/>
              </w:rPr>
              <w:lastRenderedPageBreak/>
              <w:t xml:space="preserve">Completed and as </w:t>
            </w:r>
            <w:r w:rsidR="002A07BA">
              <w:rPr>
                <w:rFonts w:eastAsia="Times New Roman" w:cstheme="minorHAnsi"/>
                <w:sz w:val="20"/>
                <w:szCs w:val="20"/>
                <w:lang w:eastAsia="en-GB"/>
              </w:rPr>
              <w:t>mentioned</w:t>
            </w:r>
            <w:r>
              <w:rPr>
                <w:rFonts w:eastAsia="Times New Roman" w:cstheme="minorHAnsi"/>
                <w:sz w:val="20"/>
                <w:szCs w:val="20"/>
                <w:lang w:eastAsia="en-GB"/>
              </w:rPr>
              <w:t xml:space="preserve"> previously within the </w:t>
            </w:r>
            <w:r w:rsidR="002A07BA">
              <w:rPr>
                <w:rFonts w:eastAsia="Times New Roman" w:cstheme="minorHAnsi"/>
                <w:sz w:val="20"/>
                <w:szCs w:val="20"/>
                <w:lang w:eastAsia="en-GB"/>
              </w:rPr>
              <w:t>report.</w:t>
            </w:r>
            <w:r>
              <w:rPr>
                <w:rFonts w:eastAsia="Times New Roman" w:cstheme="minorHAnsi"/>
                <w:sz w:val="20"/>
                <w:szCs w:val="20"/>
                <w:lang w:eastAsia="en-GB"/>
              </w:rPr>
              <w:t xml:space="preserve"> </w:t>
            </w:r>
          </w:p>
        </w:tc>
      </w:tr>
      <w:tr w:rsidR="005C0259" w14:paraId="02E128A5" w14:textId="77777777" w:rsidTr="0031180E">
        <w:tc>
          <w:tcPr>
            <w:tcW w:w="4106" w:type="dxa"/>
            <w:vAlign w:val="center"/>
          </w:tcPr>
          <w:p w14:paraId="6A837A99" w14:textId="12BBD5FA" w:rsidR="00CE3ED1" w:rsidRPr="0031180E" w:rsidRDefault="004D2EA6" w:rsidP="00CE3ED1">
            <w:pPr>
              <w:pStyle w:val="ListParagraph"/>
              <w:tabs>
                <w:tab w:val="left" w:pos="567"/>
              </w:tabs>
              <w:spacing w:after="0" w:line="240" w:lineRule="auto"/>
              <w:ind w:left="0" w:right="-284"/>
              <w:rPr>
                <w:rFonts w:eastAsia="Times New Roman" w:cstheme="minorHAnsi"/>
                <w:sz w:val="20"/>
                <w:szCs w:val="20"/>
                <w:lang w:eastAsia="en-GB"/>
              </w:rPr>
            </w:pPr>
            <w:r w:rsidRPr="0031180E">
              <w:rPr>
                <w:sz w:val="20"/>
                <w:szCs w:val="20"/>
              </w:rPr>
              <w:t xml:space="preserve">Training and development of newly elected Members of The Council to The Licensing and Public Safety Committee following the local election in June. </w:t>
            </w:r>
          </w:p>
        </w:tc>
        <w:tc>
          <w:tcPr>
            <w:tcW w:w="4961" w:type="dxa"/>
          </w:tcPr>
          <w:p w14:paraId="510333A5" w14:textId="64E69199" w:rsidR="00CE3ED1" w:rsidRPr="0031180E" w:rsidRDefault="004D2EA6" w:rsidP="00CE3ED1">
            <w:pPr>
              <w:pStyle w:val="ListParagraph"/>
              <w:tabs>
                <w:tab w:val="left" w:pos="567"/>
              </w:tabs>
              <w:spacing w:after="0" w:line="240" w:lineRule="auto"/>
              <w:ind w:left="0" w:right="-284"/>
              <w:rPr>
                <w:rFonts w:eastAsia="Times New Roman" w:cstheme="minorHAnsi"/>
                <w:sz w:val="20"/>
                <w:szCs w:val="20"/>
                <w:lang w:eastAsia="en-GB"/>
              </w:rPr>
            </w:pPr>
            <w:r>
              <w:rPr>
                <w:rFonts w:eastAsia="Times New Roman" w:cstheme="minorHAnsi"/>
                <w:sz w:val="20"/>
                <w:szCs w:val="20"/>
                <w:lang w:eastAsia="en-GB"/>
              </w:rPr>
              <w:t xml:space="preserve">Completed July/August </w:t>
            </w:r>
          </w:p>
        </w:tc>
      </w:tr>
      <w:tr w:rsidR="005C0259" w14:paraId="5ED5320E" w14:textId="77777777" w:rsidTr="0031180E">
        <w:tc>
          <w:tcPr>
            <w:tcW w:w="4106" w:type="dxa"/>
            <w:vAlign w:val="center"/>
          </w:tcPr>
          <w:p w14:paraId="2078E4A4" w14:textId="33EE1D4D" w:rsidR="00CE3ED1" w:rsidRPr="0031180E" w:rsidRDefault="004D2EA6" w:rsidP="00CE3ED1">
            <w:pPr>
              <w:pStyle w:val="ListParagraph"/>
              <w:tabs>
                <w:tab w:val="left" w:pos="567"/>
              </w:tabs>
              <w:spacing w:after="0" w:line="240" w:lineRule="auto"/>
              <w:ind w:left="0" w:right="-284"/>
              <w:rPr>
                <w:sz w:val="20"/>
                <w:szCs w:val="20"/>
              </w:rPr>
            </w:pPr>
            <w:r w:rsidRPr="0031180E">
              <w:rPr>
                <w:rFonts w:cs="Arial"/>
                <w:sz w:val="20"/>
                <w:szCs w:val="20"/>
                <w:lang w:val="en-US"/>
              </w:rPr>
              <w:t>Review of the Caravan Site Licensing Fees policy</w:t>
            </w:r>
          </w:p>
        </w:tc>
        <w:tc>
          <w:tcPr>
            <w:tcW w:w="4961" w:type="dxa"/>
          </w:tcPr>
          <w:p w14:paraId="58E8320E" w14:textId="6BAD56E5" w:rsidR="00CE3ED1" w:rsidRPr="0031180E" w:rsidRDefault="004D2EA6" w:rsidP="00CE3ED1">
            <w:pPr>
              <w:pStyle w:val="ListParagraph"/>
              <w:tabs>
                <w:tab w:val="left" w:pos="567"/>
              </w:tabs>
              <w:spacing w:after="0" w:line="240" w:lineRule="auto"/>
              <w:ind w:left="0" w:right="-284"/>
              <w:rPr>
                <w:rFonts w:eastAsia="Times New Roman" w:cstheme="minorHAnsi"/>
                <w:sz w:val="20"/>
                <w:szCs w:val="20"/>
                <w:lang w:eastAsia="en-GB"/>
              </w:rPr>
            </w:pPr>
            <w:r>
              <w:rPr>
                <w:rFonts w:eastAsia="Times New Roman" w:cstheme="minorHAnsi"/>
                <w:sz w:val="20"/>
                <w:szCs w:val="20"/>
                <w:lang w:eastAsia="en-GB"/>
              </w:rPr>
              <w:t xml:space="preserve">On going due to a current case. </w:t>
            </w:r>
          </w:p>
        </w:tc>
      </w:tr>
    </w:tbl>
    <w:p w14:paraId="4C7A305B" w14:textId="77777777" w:rsidR="00683C0B" w:rsidRDefault="00683C0B" w:rsidP="00C92DCF">
      <w:pPr>
        <w:rPr>
          <w:rFonts w:cs="Arial"/>
        </w:rPr>
      </w:pPr>
    </w:p>
    <w:p w14:paraId="5920F432" w14:textId="4C4049F8" w:rsidR="00470831" w:rsidRPr="00470831" w:rsidRDefault="00470831" w:rsidP="00470831">
      <w:pPr>
        <w:pStyle w:val="Heading2"/>
        <w:rPr>
          <w:u w:val="single"/>
        </w:rPr>
      </w:pPr>
      <w:r w:rsidRPr="00470831">
        <w:rPr>
          <w:u w:val="single"/>
        </w:rPr>
        <w:t>Public Protection Overview</w:t>
      </w:r>
    </w:p>
    <w:p w14:paraId="6A7DD8D3" w14:textId="77777777" w:rsidR="00470831" w:rsidRDefault="00470831" w:rsidP="00470831">
      <w:pPr>
        <w:pStyle w:val="Heading2"/>
      </w:pPr>
    </w:p>
    <w:p w14:paraId="20663626" w14:textId="77777777" w:rsidR="00470831" w:rsidRPr="00470831" w:rsidRDefault="00470831" w:rsidP="00470831">
      <w:pPr>
        <w:pStyle w:val="Heading1"/>
        <w:rPr>
          <w:rFonts w:asciiTheme="minorHAnsi" w:hAnsiTheme="minorHAnsi" w:cstheme="minorHAnsi"/>
          <w:sz w:val="22"/>
          <w:szCs w:val="22"/>
          <w:lang w:val="en-US"/>
        </w:rPr>
      </w:pPr>
      <w:r w:rsidRPr="00470831">
        <w:rPr>
          <w:rFonts w:asciiTheme="minorHAnsi" w:hAnsiTheme="minorHAnsi" w:cstheme="minorHAnsi"/>
          <w:sz w:val="22"/>
          <w:szCs w:val="22"/>
          <w:lang w:val="en-US"/>
        </w:rPr>
        <w:t xml:space="preserve">Service Summary </w:t>
      </w:r>
    </w:p>
    <w:p w14:paraId="602FA14B" w14:textId="5B8AEB39" w:rsidR="00470831" w:rsidRPr="00CC4817" w:rsidRDefault="00470831" w:rsidP="00CC4817">
      <w:pPr>
        <w:pStyle w:val="ListParagraph"/>
        <w:numPr>
          <w:ilvl w:val="0"/>
          <w:numId w:val="11"/>
        </w:numPr>
        <w:rPr>
          <w:rFonts w:cstheme="minorHAnsi"/>
          <w:lang w:val="en-US"/>
        </w:rPr>
      </w:pPr>
      <w:r w:rsidRPr="00470831">
        <w:rPr>
          <w:rFonts w:cstheme="minorHAnsi"/>
          <w:lang w:val="en-US"/>
        </w:rPr>
        <w:t xml:space="preserve">The success, achievements and pressures of the Environmental Health Team throughout 2023 are detailed below.  The wider Environmental Health Team is inclusive of Community Safety and Climate Emergency. However, the report is not inclusive of these updates, to avoid duplication. The work undertaken relating to Community Safety is provided in an overview of the Community Safety Partnership, Crime and Disorder. The work related to the Climate Emergency, </w:t>
      </w:r>
      <w:r w:rsidR="00B90333" w:rsidRPr="00470831">
        <w:rPr>
          <w:rFonts w:cstheme="minorHAnsi"/>
          <w:lang w:val="en-US"/>
        </w:rPr>
        <w:t>Biodiversity</w:t>
      </w:r>
      <w:r w:rsidRPr="00470831">
        <w:rPr>
          <w:rFonts w:cstheme="minorHAnsi"/>
          <w:lang w:val="en-US"/>
        </w:rPr>
        <w:t xml:space="preserve"> and Air Quality is delivered through quarterly member updates, annual reports to full council.</w:t>
      </w:r>
    </w:p>
    <w:p w14:paraId="595989AA" w14:textId="62ACCAE7" w:rsidR="00470831" w:rsidRPr="00470831" w:rsidRDefault="00470831" w:rsidP="00470831">
      <w:pPr>
        <w:pStyle w:val="ListParagraph"/>
        <w:numPr>
          <w:ilvl w:val="0"/>
          <w:numId w:val="11"/>
        </w:numPr>
        <w:rPr>
          <w:rFonts w:cstheme="minorHAnsi"/>
          <w:lang w:val="en-US"/>
        </w:rPr>
      </w:pPr>
      <w:r w:rsidRPr="00470831">
        <w:rPr>
          <w:rFonts w:cstheme="minorHAnsi"/>
          <w:lang w:val="en-US"/>
        </w:rPr>
        <w:t xml:space="preserve">Some comparisons have been made to the service </w:t>
      </w:r>
      <w:r w:rsidR="00B90333" w:rsidRPr="00470831">
        <w:rPr>
          <w:rFonts w:cstheme="minorHAnsi"/>
          <w:lang w:val="en-US"/>
        </w:rPr>
        <w:t>data;</w:t>
      </w:r>
      <w:r w:rsidRPr="00470831">
        <w:rPr>
          <w:rFonts w:cstheme="minorHAnsi"/>
          <w:lang w:val="en-US"/>
        </w:rPr>
        <w:t xml:space="preserve"> these comparisons have been made from 2018/19 – 2022/23. This comparison is made as a more accurate comparison of business-as-usual excluding the period when service delivery was impacted by the Covid-19 pandemic. </w:t>
      </w:r>
    </w:p>
    <w:p w14:paraId="5B032ACE" w14:textId="77777777" w:rsidR="00470831" w:rsidRPr="00470831" w:rsidRDefault="00470831" w:rsidP="00470831">
      <w:pPr>
        <w:pStyle w:val="Heading1"/>
        <w:rPr>
          <w:rFonts w:asciiTheme="minorHAnsi" w:hAnsiTheme="minorHAnsi" w:cstheme="minorHAnsi"/>
          <w:sz w:val="22"/>
          <w:szCs w:val="22"/>
          <w:lang w:val="en-US"/>
        </w:rPr>
      </w:pPr>
      <w:r w:rsidRPr="00470831">
        <w:rPr>
          <w:rFonts w:asciiTheme="minorHAnsi" w:hAnsiTheme="minorHAnsi" w:cstheme="minorHAnsi"/>
          <w:sz w:val="22"/>
          <w:szCs w:val="22"/>
          <w:lang w:val="en-US"/>
        </w:rPr>
        <w:t>Housing</w:t>
      </w:r>
    </w:p>
    <w:p w14:paraId="39F0E742" w14:textId="77777777" w:rsidR="00470831" w:rsidRPr="00D124FB" w:rsidRDefault="00470831" w:rsidP="00470831">
      <w:pPr>
        <w:spacing w:after="0" w:line="240" w:lineRule="auto"/>
        <w:rPr>
          <w:rFonts w:cs="Arial"/>
          <w:b/>
          <w:bCs/>
          <w:lang w:val="en-US"/>
        </w:rPr>
      </w:pPr>
    </w:p>
    <w:p w14:paraId="2AD3FC6E" w14:textId="43867550" w:rsidR="00470831" w:rsidRPr="00470831" w:rsidRDefault="00470831" w:rsidP="00470831">
      <w:pPr>
        <w:pStyle w:val="ListParagraph"/>
        <w:numPr>
          <w:ilvl w:val="0"/>
          <w:numId w:val="11"/>
        </w:numPr>
        <w:rPr>
          <w:rFonts w:cs="Arial"/>
          <w:lang w:val="en-US"/>
        </w:rPr>
      </w:pPr>
      <w:r w:rsidRPr="00470831">
        <w:rPr>
          <w:rFonts w:cs="Arial"/>
          <w:lang w:val="en-US"/>
        </w:rPr>
        <w:t xml:space="preserve">The team respond to housing disrepair complaints within the private sector rental market, social housing sector. As well as the licensing of Houses in Multiple Occupation, </w:t>
      </w:r>
      <w:r>
        <w:rPr>
          <w:rStyle w:val="ui-provider"/>
        </w:rPr>
        <w:t>Homes for Ukraine and asylum seekers (SERCO) immigration inspections.</w:t>
      </w:r>
    </w:p>
    <w:p w14:paraId="1BFF5FDD" w14:textId="15C9D056" w:rsidR="00470831" w:rsidRPr="00470831" w:rsidRDefault="00470831" w:rsidP="00470831">
      <w:pPr>
        <w:pStyle w:val="ListParagraph"/>
        <w:numPr>
          <w:ilvl w:val="0"/>
          <w:numId w:val="11"/>
        </w:numPr>
        <w:rPr>
          <w:rFonts w:cs="Arial"/>
          <w:lang w:val="en-US"/>
        </w:rPr>
      </w:pPr>
      <w:r>
        <w:rPr>
          <w:rStyle w:val="ui-provider"/>
        </w:rPr>
        <w:t>The cost-of-living crisis, particularly the rise in energy costs, has led to an increase in the prevalence of mould, which has had a negative impact on the health of occupants. The increase in rental costs has also resulted in a significant demand for social housing applications, with occupants making complaints about their existing properties in the hope of improving their banding position.</w:t>
      </w:r>
    </w:p>
    <w:p w14:paraId="2F0D6146" w14:textId="2F1CAA6E" w:rsidR="00470831" w:rsidRPr="00470831" w:rsidRDefault="00470831" w:rsidP="00470831">
      <w:pPr>
        <w:pStyle w:val="ListParagraph"/>
        <w:numPr>
          <w:ilvl w:val="0"/>
          <w:numId w:val="11"/>
        </w:numPr>
        <w:rPr>
          <w:rFonts w:cs="Arial"/>
          <w:lang w:val="en-US"/>
        </w:rPr>
      </w:pPr>
      <w:r w:rsidRPr="00470831">
        <w:rPr>
          <w:rFonts w:cs="Arial"/>
          <w:lang w:val="en-US"/>
        </w:rPr>
        <w:t xml:space="preserve">Therefore, there has been a 52% increase since 18/19 in housing disrepair complaints, and also the complexity of a number of these complaints due to the conflicting damp and cost a fuel situation. </w:t>
      </w:r>
    </w:p>
    <w:p w14:paraId="2F5998EA" w14:textId="511F84D5" w:rsidR="00470831" w:rsidRPr="00470831" w:rsidRDefault="00470831" w:rsidP="00470831">
      <w:pPr>
        <w:pStyle w:val="ListParagraph"/>
        <w:numPr>
          <w:ilvl w:val="0"/>
          <w:numId w:val="11"/>
        </w:numPr>
        <w:rPr>
          <w:rFonts w:cs="Arial"/>
          <w:lang w:val="en-US"/>
        </w:rPr>
      </w:pPr>
      <w:r w:rsidRPr="00470831">
        <w:rPr>
          <w:rFonts w:cs="Arial"/>
          <w:lang w:val="en-US"/>
        </w:rPr>
        <w:t xml:space="preserve">The commitments of the home office in support of </w:t>
      </w:r>
      <w:r>
        <w:rPr>
          <w:rStyle w:val="ui-provider"/>
        </w:rPr>
        <w:t xml:space="preserve">supporting asylum seekers </w:t>
      </w:r>
      <w:r w:rsidRPr="00470831">
        <w:rPr>
          <w:rFonts w:cs="Arial"/>
          <w:lang w:val="en-US"/>
        </w:rPr>
        <w:t xml:space="preserve">have seen an exceptional rise in the number of houses of multiple occupations with an increased demand for single occupancy homes and lower cost homes. Since 2018/19 the borough has seen a 128% increase in HMO’s. </w:t>
      </w:r>
    </w:p>
    <w:p w14:paraId="1B4C24B9" w14:textId="184BBEDF" w:rsidR="00470831" w:rsidRPr="00470831" w:rsidRDefault="00470831" w:rsidP="00470831">
      <w:pPr>
        <w:pStyle w:val="ListParagraph"/>
        <w:numPr>
          <w:ilvl w:val="0"/>
          <w:numId w:val="11"/>
        </w:numPr>
        <w:rPr>
          <w:rFonts w:cs="Arial"/>
          <w:lang w:val="en-US"/>
        </w:rPr>
      </w:pPr>
      <w:r w:rsidRPr="00470831">
        <w:rPr>
          <w:rFonts w:cs="Arial"/>
          <w:lang w:val="en-US"/>
        </w:rPr>
        <w:t xml:space="preserve">The above increased demands are ongoing and therefore there remains significant pressure on the services’ resources. In some cases, the timescales in reaching resolutions are therefore extended.  </w:t>
      </w:r>
    </w:p>
    <w:p w14:paraId="53298D45" w14:textId="77777777" w:rsidR="00470831" w:rsidRPr="00470831" w:rsidRDefault="00470831" w:rsidP="00470831">
      <w:pPr>
        <w:pStyle w:val="Heading1"/>
        <w:rPr>
          <w:rFonts w:asciiTheme="minorHAnsi" w:hAnsiTheme="minorHAnsi" w:cstheme="minorHAnsi"/>
          <w:sz w:val="22"/>
          <w:szCs w:val="22"/>
          <w:lang w:val="en-US"/>
        </w:rPr>
      </w:pPr>
      <w:r w:rsidRPr="00470831">
        <w:rPr>
          <w:rFonts w:asciiTheme="minorHAnsi" w:hAnsiTheme="minorHAnsi" w:cstheme="minorHAnsi"/>
          <w:sz w:val="22"/>
          <w:szCs w:val="22"/>
          <w:lang w:val="en-US"/>
        </w:rPr>
        <w:lastRenderedPageBreak/>
        <w:t xml:space="preserve">Environmental Protection </w:t>
      </w:r>
    </w:p>
    <w:p w14:paraId="7C1D7584" w14:textId="77777777" w:rsidR="00470831" w:rsidRPr="00470831" w:rsidRDefault="00470831" w:rsidP="00470831">
      <w:pPr>
        <w:spacing w:after="0" w:line="240" w:lineRule="auto"/>
        <w:rPr>
          <w:rFonts w:cstheme="minorHAnsi"/>
          <w:b/>
          <w:bCs/>
          <w:lang w:val="en-US"/>
        </w:rPr>
      </w:pPr>
    </w:p>
    <w:p w14:paraId="113246E9" w14:textId="6892A672" w:rsidR="00470831" w:rsidRPr="00CC4817" w:rsidRDefault="00470831" w:rsidP="00CC4817">
      <w:pPr>
        <w:pStyle w:val="ListParagraph"/>
        <w:numPr>
          <w:ilvl w:val="0"/>
          <w:numId w:val="11"/>
        </w:numPr>
        <w:rPr>
          <w:rFonts w:cstheme="minorHAnsi"/>
          <w:lang w:val="en-US"/>
        </w:rPr>
      </w:pPr>
      <w:r w:rsidRPr="00CC4817">
        <w:rPr>
          <w:rFonts w:cstheme="minorHAnsi"/>
          <w:lang w:val="en-US"/>
        </w:rPr>
        <w:t xml:space="preserve">The team provides advice, education, encouragement, and where required enforcement of a significant range of legislation, including Statutory nuisance, including noise, lighting and accumulations. Private matters relating to waste management and fly tipping, public health funerals, exhumations and filthy &amp; verminous properties, properties open to access, burning and smoke complaints including dark smoke legislation, smoke control area advice, drainage complaints and land drainage complaints. </w:t>
      </w:r>
    </w:p>
    <w:p w14:paraId="50D71928" w14:textId="74E60907" w:rsidR="00470831" w:rsidRPr="00CC4817" w:rsidRDefault="00470831" w:rsidP="00CC4817">
      <w:pPr>
        <w:pStyle w:val="ListParagraph"/>
        <w:numPr>
          <w:ilvl w:val="0"/>
          <w:numId w:val="11"/>
        </w:numPr>
        <w:rPr>
          <w:rFonts w:cstheme="minorHAnsi"/>
          <w:lang w:val="en-US"/>
        </w:rPr>
      </w:pPr>
      <w:r w:rsidRPr="00CC4817">
        <w:rPr>
          <w:rFonts w:cstheme="minorHAnsi"/>
          <w:lang w:val="en-US"/>
        </w:rPr>
        <w:t xml:space="preserve">Since covid-19 there has been an overall increase in demand relating to some of the above categories. Notably – Filthy and Verminous complaints have risen by 250% since 2018/19. It is assumed this increase follows on from the impacts of Covid-19 followed by the cost-of-living crisis. This has impacted people’s mental health and affordability to maintain the homes condition. </w:t>
      </w:r>
    </w:p>
    <w:p w14:paraId="66ECFC6E" w14:textId="1648D3B7" w:rsidR="00470831" w:rsidRPr="00CC4817" w:rsidRDefault="00470831" w:rsidP="00CC4817">
      <w:pPr>
        <w:pStyle w:val="ListParagraph"/>
        <w:numPr>
          <w:ilvl w:val="0"/>
          <w:numId w:val="11"/>
        </w:numPr>
        <w:rPr>
          <w:rFonts w:cstheme="minorHAnsi"/>
          <w:lang w:val="en-US"/>
        </w:rPr>
      </w:pPr>
      <w:r w:rsidRPr="00CC4817">
        <w:rPr>
          <w:rFonts w:cstheme="minorHAnsi"/>
        </w:rPr>
        <w:t>Furthermore, another notable key increase in service demand relates to noise complaints (total of all noise categories) have increased 39% since 2018/19. Again, these increases appear to be impacted by the pandemic, with changes of use of the home, changes of behaviours of pets specifically dogs.</w:t>
      </w:r>
    </w:p>
    <w:p w14:paraId="2C9CED31" w14:textId="28AA37C3" w:rsidR="00470831" w:rsidRPr="00CC4817" w:rsidRDefault="00470831" w:rsidP="00CC4817">
      <w:pPr>
        <w:pStyle w:val="ListParagraph"/>
        <w:numPr>
          <w:ilvl w:val="0"/>
          <w:numId w:val="11"/>
        </w:numPr>
        <w:spacing w:after="0" w:line="240" w:lineRule="auto"/>
        <w:rPr>
          <w:rFonts w:eastAsia="Times New Roman" w:cstheme="minorHAnsi"/>
        </w:rPr>
      </w:pPr>
      <w:r w:rsidRPr="00CC4817">
        <w:rPr>
          <w:rFonts w:eastAsia="Times New Roman" w:cstheme="minorHAnsi"/>
        </w:rPr>
        <w:t xml:space="preserve">The team have resolved a serious noise complaint which required two prosecutions and the Council’s first use of a Criminal Behaviour Order. </w:t>
      </w:r>
    </w:p>
    <w:p w14:paraId="22780F37" w14:textId="7DE986D8" w:rsidR="00470831" w:rsidRPr="00CC4817" w:rsidRDefault="00470831" w:rsidP="00CC4817">
      <w:pPr>
        <w:pStyle w:val="ListParagraph"/>
        <w:numPr>
          <w:ilvl w:val="0"/>
          <w:numId w:val="11"/>
        </w:numPr>
        <w:spacing w:after="0" w:line="240" w:lineRule="auto"/>
        <w:rPr>
          <w:rFonts w:eastAsia="Times New Roman" w:cstheme="minorHAnsi"/>
        </w:rPr>
      </w:pPr>
      <w:r w:rsidRPr="00CC4817">
        <w:rPr>
          <w:rFonts w:eastAsia="Times New Roman" w:cstheme="minorHAnsi"/>
        </w:rPr>
        <w:t xml:space="preserve">The team issue and inspect compliance with Environmental Permits in connection industrial and waste installations undertaking activities that have the potential to cause harm to human health or the environment. There are currently 40 permitted processes within the borough.  </w:t>
      </w:r>
    </w:p>
    <w:p w14:paraId="72EC6B6C" w14:textId="77777777" w:rsidR="00470831" w:rsidRPr="00470831" w:rsidRDefault="00470831" w:rsidP="00470831">
      <w:pPr>
        <w:spacing w:after="0" w:line="240" w:lineRule="auto"/>
        <w:rPr>
          <w:rFonts w:eastAsia="Times New Roman" w:cstheme="minorHAnsi"/>
        </w:rPr>
      </w:pPr>
    </w:p>
    <w:p w14:paraId="72E20225" w14:textId="77777777" w:rsidR="00470831" w:rsidRPr="00470831" w:rsidRDefault="00470831" w:rsidP="00470831">
      <w:pPr>
        <w:pStyle w:val="Heading1"/>
        <w:rPr>
          <w:rFonts w:asciiTheme="minorHAnsi" w:hAnsiTheme="minorHAnsi" w:cstheme="minorHAnsi"/>
          <w:sz w:val="22"/>
          <w:szCs w:val="22"/>
          <w:lang w:val="en-US"/>
        </w:rPr>
      </w:pPr>
      <w:r w:rsidRPr="00470831">
        <w:rPr>
          <w:rFonts w:asciiTheme="minorHAnsi" w:hAnsiTheme="minorHAnsi" w:cstheme="minorHAnsi"/>
          <w:sz w:val="22"/>
          <w:szCs w:val="22"/>
          <w:lang w:val="en-US"/>
        </w:rPr>
        <w:t xml:space="preserve">Food Safety </w:t>
      </w:r>
    </w:p>
    <w:p w14:paraId="637945A4" w14:textId="77777777" w:rsidR="00470831" w:rsidRDefault="00470831" w:rsidP="00470831">
      <w:pPr>
        <w:spacing w:after="0" w:line="240" w:lineRule="auto"/>
        <w:rPr>
          <w:rFonts w:cs="Arial"/>
          <w:b/>
          <w:bCs/>
          <w:lang w:val="en-US"/>
        </w:rPr>
      </w:pPr>
    </w:p>
    <w:p w14:paraId="2794EC4C" w14:textId="7C764E2F" w:rsidR="00470831" w:rsidRPr="00CC4817" w:rsidRDefault="00470831" w:rsidP="00470831">
      <w:pPr>
        <w:pStyle w:val="ListParagraph"/>
        <w:numPr>
          <w:ilvl w:val="0"/>
          <w:numId w:val="11"/>
        </w:numPr>
        <w:spacing w:after="0" w:line="240" w:lineRule="auto"/>
        <w:rPr>
          <w:rFonts w:cs="Arial"/>
          <w:lang w:val="en-US"/>
        </w:rPr>
      </w:pPr>
      <w:r w:rsidRPr="00CC4817">
        <w:rPr>
          <w:rFonts w:cs="Arial"/>
          <w:lang w:val="en-US"/>
        </w:rPr>
        <w:t xml:space="preserve">How the team intends to achieve its statutory requirements for food hygiene and safety is detailed within the food service delivery plan shown in appendix A. </w:t>
      </w:r>
    </w:p>
    <w:p w14:paraId="23C7DD9C" w14:textId="7DE4F8B9" w:rsidR="00470831" w:rsidRPr="00CC4817" w:rsidRDefault="00470831" w:rsidP="00470831">
      <w:pPr>
        <w:pStyle w:val="ListParagraph"/>
        <w:numPr>
          <w:ilvl w:val="0"/>
          <w:numId w:val="11"/>
        </w:numPr>
        <w:spacing w:after="0" w:line="240" w:lineRule="auto"/>
        <w:rPr>
          <w:rFonts w:cs="Arial"/>
          <w:lang w:val="en-US"/>
        </w:rPr>
      </w:pPr>
      <w:r w:rsidRPr="00CC4817">
        <w:rPr>
          <w:rFonts w:cs="Arial"/>
          <w:lang w:val="en-US"/>
        </w:rPr>
        <w:t xml:space="preserve">There are currently 942 registered food businesses within the borough, requiring programmed interventions. The frequency of these interventions dependent on their risk ratings. </w:t>
      </w:r>
    </w:p>
    <w:p w14:paraId="458D7221" w14:textId="4265BDDA" w:rsidR="00470831" w:rsidRPr="00CC4817" w:rsidRDefault="00470831" w:rsidP="00CC4817">
      <w:pPr>
        <w:pStyle w:val="ListParagraph"/>
        <w:numPr>
          <w:ilvl w:val="0"/>
          <w:numId w:val="11"/>
        </w:numPr>
        <w:spacing w:after="0" w:line="240" w:lineRule="auto"/>
        <w:rPr>
          <w:rFonts w:cs="Arial"/>
          <w:lang w:val="en-US"/>
        </w:rPr>
      </w:pPr>
      <w:r w:rsidRPr="00CC4817">
        <w:rPr>
          <w:rFonts w:cs="Arial"/>
          <w:lang w:val="en-US"/>
        </w:rPr>
        <w:t xml:space="preserve">For the period of 23/24 so </w:t>
      </w:r>
      <w:r w:rsidR="00B90333" w:rsidRPr="00CC4817">
        <w:rPr>
          <w:rFonts w:cs="Arial"/>
          <w:lang w:val="en-US"/>
        </w:rPr>
        <w:t>far,</w:t>
      </w:r>
      <w:r w:rsidRPr="00CC4817">
        <w:rPr>
          <w:rFonts w:cs="Arial"/>
          <w:lang w:val="en-US"/>
        </w:rPr>
        <w:t xml:space="preserve"> the team have undertaken 201 programmed inspections, still due by the end of the financial year:</w:t>
      </w:r>
    </w:p>
    <w:p w14:paraId="5E602844" w14:textId="77777777" w:rsidR="00470831" w:rsidRDefault="00470831" w:rsidP="00470831">
      <w:pPr>
        <w:spacing w:after="0" w:line="240" w:lineRule="auto"/>
        <w:rPr>
          <w:rFonts w:cs="Arial"/>
          <w:lang w:val="en-US"/>
        </w:rPr>
      </w:pPr>
    </w:p>
    <w:p w14:paraId="29F58F19" w14:textId="77777777" w:rsidR="00470831" w:rsidRDefault="00470831" w:rsidP="00CC4817">
      <w:pPr>
        <w:spacing w:after="0" w:line="240" w:lineRule="auto"/>
        <w:ind w:left="720"/>
        <w:rPr>
          <w:rFonts w:cs="Arial"/>
          <w:lang w:val="en-US"/>
        </w:rPr>
      </w:pPr>
      <w:r>
        <w:rPr>
          <w:rFonts w:cs="Arial"/>
          <w:lang w:val="en-US"/>
        </w:rPr>
        <w:t xml:space="preserve">4 – Category B businesses </w:t>
      </w:r>
    </w:p>
    <w:p w14:paraId="4C7F761E" w14:textId="77777777" w:rsidR="00470831" w:rsidRDefault="00470831" w:rsidP="00CC4817">
      <w:pPr>
        <w:spacing w:after="0" w:line="240" w:lineRule="auto"/>
        <w:ind w:left="720"/>
        <w:rPr>
          <w:rFonts w:cs="Arial"/>
          <w:lang w:val="en-US"/>
        </w:rPr>
      </w:pPr>
      <w:r>
        <w:rPr>
          <w:rFonts w:cs="Arial"/>
          <w:lang w:val="en-US"/>
        </w:rPr>
        <w:t xml:space="preserve">12 – Category C businesses (5 Overdue) </w:t>
      </w:r>
    </w:p>
    <w:p w14:paraId="50E3340A" w14:textId="77777777" w:rsidR="00470831" w:rsidRDefault="00470831" w:rsidP="00CC4817">
      <w:pPr>
        <w:spacing w:after="0" w:line="240" w:lineRule="auto"/>
        <w:ind w:left="720"/>
        <w:rPr>
          <w:rFonts w:cs="Arial"/>
          <w:lang w:val="en-US"/>
        </w:rPr>
      </w:pPr>
      <w:r>
        <w:rPr>
          <w:rFonts w:cs="Arial"/>
          <w:lang w:val="en-US"/>
        </w:rPr>
        <w:t xml:space="preserve">104 – Category D businesses (31 Overdue) </w:t>
      </w:r>
    </w:p>
    <w:p w14:paraId="375046FD" w14:textId="77777777" w:rsidR="00470831" w:rsidRDefault="00470831" w:rsidP="00CC4817">
      <w:pPr>
        <w:spacing w:after="0" w:line="240" w:lineRule="auto"/>
        <w:ind w:left="720"/>
        <w:rPr>
          <w:rFonts w:cs="Arial"/>
          <w:lang w:val="en-US"/>
        </w:rPr>
      </w:pPr>
      <w:r>
        <w:rPr>
          <w:rFonts w:cs="Arial"/>
          <w:lang w:val="en-US"/>
        </w:rPr>
        <w:t xml:space="preserve">57 – Category E businesses (lowest risk) (45 overdue) </w:t>
      </w:r>
    </w:p>
    <w:p w14:paraId="1DC02C35" w14:textId="77777777" w:rsidR="00470831" w:rsidRDefault="00470831" w:rsidP="00470831">
      <w:pPr>
        <w:spacing w:after="0" w:line="240" w:lineRule="auto"/>
        <w:rPr>
          <w:rFonts w:cs="Arial"/>
          <w:lang w:val="en-US"/>
        </w:rPr>
      </w:pPr>
    </w:p>
    <w:p w14:paraId="145BC0B8" w14:textId="5ED89CAE" w:rsidR="00470831" w:rsidRPr="00CC4817" w:rsidRDefault="00470831" w:rsidP="00470831">
      <w:pPr>
        <w:pStyle w:val="ListParagraph"/>
        <w:numPr>
          <w:ilvl w:val="0"/>
          <w:numId w:val="11"/>
        </w:numPr>
        <w:spacing w:after="0" w:line="240" w:lineRule="auto"/>
        <w:rPr>
          <w:rFonts w:cs="Arial"/>
          <w:lang w:val="en-US"/>
        </w:rPr>
      </w:pPr>
      <w:r w:rsidRPr="00CC4817">
        <w:rPr>
          <w:rFonts w:cs="Arial"/>
          <w:lang w:val="en-US"/>
        </w:rPr>
        <w:t xml:space="preserve">In addition to programmed interventions the team respond to enquiries and complaints as well as outbreaks of communicable disease and investigates reports of food poisoning, when comparing 2018/2019 to 2022/2023 have increased by 30%. </w:t>
      </w:r>
    </w:p>
    <w:p w14:paraId="1EFD056C" w14:textId="4810C216" w:rsidR="00470831" w:rsidRPr="00CC4817" w:rsidRDefault="00470831" w:rsidP="00CC4817">
      <w:pPr>
        <w:pStyle w:val="ListParagraph"/>
        <w:numPr>
          <w:ilvl w:val="0"/>
          <w:numId w:val="11"/>
        </w:numPr>
        <w:spacing w:after="0" w:line="240" w:lineRule="auto"/>
        <w:rPr>
          <w:rFonts w:cs="Arial"/>
          <w:lang w:val="en-US"/>
        </w:rPr>
      </w:pPr>
      <w:r w:rsidRPr="00CC4817">
        <w:rPr>
          <w:rFonts w:cs="Arial"/>
          <w:lang w:val="en-US"/>
        </w:rPr>
        <w:t xml:space="preserve">Furthermore, the team </w:t>
      </w:r>
      <w:r w:rsidR="00B90333" w:rsidRPr="00CC4817">
        <w:rPr>
          <w:rFonts w:cs="Arial"/>
          <w:lang w:val="en-US"/>
        </w:rPr>
        <w:t>offers</w:t>
      </w:r>
      <w:r w:rsidRPr="00CC4817">
        <w:rPr>
          <w:rFonts w:cs="Arial"/>
          <w:lang w:val="en-US"/>
        </w:rPr>
        <w:t xml:space="preserve"> educational and advice information, issue street traders consents and exportation/attestation certificates for food products being sent overseas. The team inspects and approves certain manufacturing premises. Where possible the team </w:t>
      </w:r>
      <w:r w:rsidR="00B90333" w:rsidRPr="00CC4817">
        <w:rPr>
          <w:rFonts w:cs="Arial"/>
          <w:lang w:val="en-US"/>
        </w:rPr>
        <w:t>provides</w:t>
      </w:r>
      <w:r w:rsidRPr="00CC4817">
        <w:rPr>
          <w:rFonts w:cs="Arial"/>
          <w:lang w:val="en-US"/>
        </w:rPr>
        <w:t xml:space="preserve"> free basic hygiene training to voluntary community groups, which </w:t>
      </w:r>
      <w:r w:rsidR="00B90333" w:rsidRPr="00CC4817">
        <w:rPr>
          <w:rFonts w:cs="Arial"/>
          <w:lang w:val="en-US"/>
        </w:rPr>
        <w:t>have</w:t>
      </w:r>
      <w:r w:rsidRPr="00CC4817">
        <w:rPr>
          <w:rFonts w:cs="Arial"/>
          <w:lang w:val="en-US"/>
        </w:rPr>
        <w:t xml:space="preserve"> received exceptional feedback.  </w:t>
      </w:r>
    </w:p>
    <w:p w14:paraId="67AEB9C1" w14:textId="77777777" w:rsidR="00153954" w:rsidRDefault="00153954" w:rsidP="00470831">
      <w:pPr>
        <w:pStyle w:val="Heading1"/>
        <w:rPr>
          <w:rFonts w:asciiTheme="minorHAnsi" w:hAnsiTheme="minorHAnsi" w:cstheme="minorHAnsi"/>
          <w:sz w:val="22"/>
          <w:szCs w:val="22"/>
          <w:lang w:val="en-US"/>
        </w:rPr>
      </w:pPr>
    </w:p>
    <w:p w14:paraId="1DCA0D00" w14:textId="77777777" w:rsidR="00153954" w:rsidRDefault="00153954" w:rsidP="00470831">
      <w:pPr>
        <w:pStyle w:val="Heading1"/>
        <w:rPr>
          <w:rFonts w:asciiTheme="minorHAnsi" w:hAnsiTheme="minorHAnsi" w:cstheme="minorHAnsi"/>
          <w:sz w:val="22"/>
          <w:szCs w:val="22"/>
          <w:lang w:val="en-US"/>
        </w:rPr>
      </w:pPr>
    </w:p>
    <w:p w14:paraId="1E0A1692" w14:textId="351911BB" w:rsidR="00470831" w:rsidRPr="00153954" w:rsidRDefault="00470831" w:rsidP="00470831">
      <w:pPr>
        <w:pStyle w:val="Heading1"/>
        <w:rPr>
          <w:rFonts w:asciiTheme="minorHAnsi" w:hAnsiTheme="minorHAnsi" w:cstheme="minorHAnsi"/>
          <w:sz w:val="22"/>
          <w:szCs w:val="22"/>
          <w:lang w:val="en-US"/>
        </w:rPr>
      </w:pPr>
      <w:r w:rsidRPr="00153954">
        <w:rPr>
          <w:rFonts w:asciiTheme="minorHAnsi" w:hAnsiTheme="minorHAnsi" w:cstheme="minorHAnsi"/>
          <w:sz w:val="22"/>
          <w:szCs w:val="22"/>
          <w:lang w:val="en-US"/>
        </w:rPr>
        <w:lastRenderedPageBreak/>
        <w:t>Pest Control</w:t>
      </w:r>
    </w:p>
    <w:p w14:paraId="0E2A3D17" w14:textId="00B0B444" w:rsidR="00470831" w:rsidRPr="00CC4817" w:rsidRDefault="00470831" w:rsidP="00CC4817">
      <w:pPr>
        <w:pStyle w:val="ListParagraph"/>
        <w:numPr>
          <w:ilvl w:val="0"/>
          <w:numId w:val="11"/>
        </w:numPr>
        <w:rPr>
          <w:rFonts w:cs="Arial"/>
          <w:lang w:val="en-US"/>
        </w:rPr>
      </w:pPr>
      <w:r w:rsidRPr="00CC4817">
        <w:rPr>
          <w:rFonts w:cs="Arial"/>
          <w:lang w:val="en-US"/>
        </w:rPr>
        <w:t xml:space="preserve">This year South Ribbles in house pest control team has expanded to a shared team, now consisting of 4 operating across Chorley and South Ribble. The service offers a valuable source of advice to residents, and a competitive treatment service to both residents and businesses within the borough. Commercial contracts are also offered helping to </w:t>
      </w:r>
      <w:r w:rsidR="00B90333" w:rsidRPr="00CC4817">
        <w:rPr>
          <w:rFonts w:cs="Arial"/>
          <w:lang w:val="en-US"/>
        </w:rPr>
        <w:t>offset</w:t>
      </w:r>
      <w:r w:rsidRPr="00CC4817">
        <w:rPr>
          <w:rFonts w:cs="Arial"/>
          <w:lang w:val="en-US"/>
        </w:rPr>
        <w:t xml:space="preserve"> the cost of the service providing a value for money service to the public. There are currently 72 commercial contracts in place across the South Ribble Borough. </w:t>
      </w:r>
    </w:p>
    <w:p w14:paraId="15740002" w14:textId="77777777" w:rsidR="00153954" w:rsidRDefault="00153954" w:rsidP="00153954">
      <w:pPr>
        <w:pStyle w:val="ListParagraph"/>
        <w:ind w:left="360"/>
        <w:rPr>
          <w:rFonts w:cs="Arial"/>
          <w:lang w:val="en-US"/>
        </w:rPr>
      </w:pPr>
    </w:p>
    <w:p w14:paraId="05764DF0" w14:textId="6B617936" w:rsidR="00470831" w:rsidRPr="00CC4817" w:rsidRDefault="00470831" w:rsidP="00CC4817">
      <w:pPr>
        <w:pStyle w:val="ListParagraph"/>
        <w:numPr>
          <w:ilvl w:val="0"/>
          <w:numId w:val="11"/>
        </w:numPr>
        <w:rPr>
          <w:rFonts w:cs="Arial"/>
          <w:lang w:val="en-US"/>
        </w:rPr>
      </w:pPr>
      <w:r w:rsidRPr="00CC4817">
        <w:rPr>
          <w:rFonts w:cs="Arial"/>
          <w:lang w:val="en-US"/>
        </w:rPr>
        <w:t>In addition to servicing the commercial contracts, the team receive reactive requests both domestic and commercial. Delivering free and chargeable services, South Ribble still offers an invaluable free domestic rodent treatment to its residents. Below show the numbers of service requests received by the team in the last 3 years:</w:t>
      </w:r>
    </w:p>
    <w:p w14:paraId="2698949B" w14:textId="77777777" w:rsidR="00470831" w:rsidRPr="00DF2F05" w:rsidRDefault="00470831" w:rsidP="00470831">
      <w:pPr>
        <w:pStyle w:val="ListParagraph"/>
        <w:numPr>
          <w:ilvl w:val="0"/>
          <w:numId w:val="18"/>
        </w:numPr>
        <w:spacing w:after="0"/>
        <w:rPr>
          <w:rFonts w:ascii="Calibri" w:hAnsi="Calibri"/>
        </w:rPr>
      </w:pPr>
      <w:r>
        <w:t xml:space="preserve">2021: 1421 </w:t>
      </w:r>
    </w:p>
    <w:p w14:paraId="4689BC6D" w14:textId="77777777" w:rsidR="00470831" w:rsidRDefault="00470831" w:rsidP="00470831">
      <w:pPr>
        <w:pStyle w:val="ListParagraph"/>
        <w:numPr>
          <w:ilvl w:val="0"/>
          <w:numId w:val="18"/>
        </w:numPr>
        <w:spacing w:after="0"/>
      </w:pPr>
      <w:r>
        <w:t xml:space="preserve">2022: 1375 </w:t>
      </w:r>
    </w:p>
    <w:p w14:paraId="2D0E6B54" w14:textId="77777777" w:rsidR="00470831" w:rsidRDefault="00470831" w:rsidP="00470831">
      <w:pPr>
        <w:pStyle w:val="ListParagraph"/>
        <w:numPr>
          <w:ilvl w:val="0"/>
          <w:numId w:val="18"/>
        </w:numPr>
        <w:spacing w:after="0"/>
      </w:pPr>
      <w:r>
        <w:t xml:space="preserve">2023: 1729 </w:t>
      </w:r>
    </w:p>
    <w:p w14:paraId="1D38452B" w14:textId="77777777" w:rsidR="00470831" w:rsidRDefault="00470831" w:rsidP="00470831">
      <w:pPr>
        <w:rPr>
          <w:rFonts w:cs="Arial"/>
          <w:lang w:val="en-US"/>
        </w:rPr>
      </w:pPr>
    </w:p>
    <w:p w14:paraId="12C23952" w14:textId="40D84C59" w:rsidR="00470831" w:rsidRPr="00CC4817" w:rsidRDefault="00470831" w:rsidP="00CC4817">
      <w:pPr>
        <w:pStyle w:val="ListParagraph"/>
        <w:numPr>
          <w:ilvl w:val="0"/>
          <w:numId w:val="11"/>
        </w:numPr>
        <w:rPr>
          <w:rFonts w:cs="Arial"/>
          <w:lang w:val="en-US"/>
        </w:rPr>
      </w:pPr>
      <w:r w:rsidRPr="00CC4817">
        <w:rPr>
          <w:rFonts w:cs="Arial"/>
          <w:lang w:val="en-US"/>
        </w:rPr>
        <w:t xml:space="preserve">The service is continuously under review as a new and expanding service to improve and grow. There are various service level improvements that have been identified for the service to run more efficiently and effectively, which do not affect customer service. These improvements are reliant on interdependencies such as ICT improvements and therefore will be developed in line with their priorities. Until the identified improvements are made the service will be limiting further new commercial contractual agreements. </w:t>
      </w:r>
    </w:p>
    <w:p w14:paraId="5D0EEC74" w14:textId="77777777" w:rsidR="00153954" w:rsidRPr="00153954" w:rsidRDefault="00153954" w:rsidP="00153954">
      <w:pPr>
        <w:pStyle w:val="ListParagraph"/>
        <w:ind w:left="360"/>
        <w:rPr>
          <w:rFonts w:cstheme="minorHAnsi"/>
          <w:lang w:val="en-US"/>
        </w:rPr>
      </w:pPr>
    </w:p>
    <w:p w14:paraId="401DC931" w14:textId="1E311C14" w:rsidR="00470831" w:rsidRPr="00CC4817" w:rsidRDefault="00470831" w:rsidP="00CC4817">
      <w:pPr>
        <w:pStyle w:val="ListParagraph"/>
        <w:numPr>
          <w:ilvl w:val="0"/>
          <w:numId w:val="11"/>
        </w:numPr>
        <w:rPr>
          <w:rFonts w:cstheme="minorHAnsi"/>
          <w:lang w:val="en-US"/>
        </w:rPr>
      </w:pPr>
      <w:r w:rsidRPr="00CC4817">
        <w:rPr>
          <w:rFonts w:cs="Arial"/>
          <w:lang w:val="en-US"/>
        </w:rPr>
        <w:t xml:space="preserve">The service, specifically its team members, receives a lot of positive feedback for the local residents.  </w:t>
      </w:r>
    </w:p>
    <w:p w14:paraId="51BC44CD" w14:textId="77777777" w:rsidR="00470831" w:rsidRPr="00470831" w:rsidRDefault="00470831" w:rsidP="00470831">
      <w:pPr>
        <w:pStyle w:val="Heading1"/>
        <w:rPr>
          <w:rFonts w:asciiTheme="minorHAnsi" w:hAnsiTheme="minorHAnsi" w:cstheme="minorHAnsi"/>
          <w:sz w:val="22"/>
          <w:szCs w:val="22"/>
          <w:lang w:val="en-US"/>
        </w:rPr>
      </w:pPr>
      <w:r w:rsidRPr="00470831">
        <w:rPr>
          <w:rFonts w:asciiTheme="minorHAnsi" w:hAnsiTheme="minorHAnsi" w:cstheme="minorHAnsi"/>
          <w:sz w:val="22"/>
          <w:szCs w:val="22"/>
          <w:lang w:val="en-US"/>
        </w:rPr>
        <w:t>Planning</w:t>
      </w:r>
    </w:p>
    <w:p w14:paraId="594AB4F9" w14:textId="309EBB52" w:rsidR="00470831" w:rsidRPr="00CC4817" w:rsidRDefault="00470831" w:rsidP="00CC4817">
      <w:pPr>
        <w:pStyle w:val="ListParagraph"/>
        <w:numPr>
          <w:ilvl w:val="0"/>
          <w:numId w:val="11"/>
        </w:numPr>
        <w:rPr>
          <w:rFonts w:cstheme="minorHAnsi"/>
          <w:lang w:val="en-US"/>
        </w:rPr>
      </w:pPr>
      <w:r w:rsidRPr="00CC4817">
        <w:rPr>
          <w:rFonts w:cstheme="minorHAnsi"/>
          <w:lang w:val="en-US"/>
        </w:rPr>
        <w:t xml:space="preserve">The team review and respond were appropriately on planning applications with regards to Environment Health matters, objecting or requesting conditions as appropriate. These issues include noise, air quality, lighting, construction, contaminated land, pest control, waste storage. The team also reviews reports submitted to the planning department covering these areas and provides expert comments for planning decisions, committees and appeals. </w:t>
      </w:r>
    </w:p>
    <w:p w14:paraId="1B0B680C" w14:textId="77777777" w:rsidR="00153954" w:rsidRDefault="00153954" w:rsidP="00153954">
      <w:pPr>
        <w:pStyle w:val="ListParagraph"/>
        <w:ind w:left="360"/>
        <w:rPr>
          <w:rFonts w:cstheme="minorHAnsi"/>
          <w:lang w:val="en-US"/>
        </w:rPr>
      </w:pPr>
    </w:p>
    <w:p w14:paraId="220DA321" w14:textId="2091F908" w:rsidR="00470831" w:rsidRDefault="00470831" w:rsidP="00CC4817">
      <w:pPr>
        <w:pStyle w:val="ListParagraph"/>
        <w:numPr>
          <w:ilvl w:val="0"/>
          <w:numId w:val="11"/>
        </w:numPr>
        <w:rPr>
          <w:rFonts w:cstheme="minorHAnsi"/>
          <w:lang w:val="en-US"/>
        </w:rPr>
      </w:pPr>
      <w:r w:rsidRPr="00CC4817">
        <w:rPr>
          <w:rFonts w:cstheme="minorHAnsi"/>
          <w:lang w:val="en-US"/>
        </w:rPr>
        <w:t>Overall, there are no significant findings to report in this area, there have been a number of consultations where the team have made objections. The records show a 44% increase in the number of consultations responded to since 2018/19. The increase however is in connection with a change of internal process, resulting in the team reviewing a larger number of applications. The team responded to 344 applications during the period of 2022/2023.</w:t>
      </w:r>
    </w:p>
    <w:p w14:paraId="0037E755" w14:textId="77777777" w:rsidR="00470831" w:rsidRPr="00470831" w:rsidRDefault="00470831" w:rsidP="00470831">
      <w:pPr>
        <w:pStyle w:val="Heading1"/>
        <w:rPr>
          <w:rFonts w:asciiTheme="minorHAnsi" w:hAnsiTheme="minorHAnsi" w:cstheme="minorHAnsi"/>
          <w:sz w:val="22"/>
          <w:szCs w:val="22"/>
          <w:lang w:val="en-US"/>
        </w:rPr>
      </w:pPr>
      <w:r w:rsidRPr="00470831">
        <w:rPr>
          <w:rFonts w:asciiTheme="minorHAnsi" w:hAnsiTheme="minorHAnsi" w:cstheme="minorHAnsi"/>
          <w:sz w:val="22"/>
          <w:szCs w:val="22"/>
          <w:lang w:val="en-US"/>
        </w:rPr>
        <w:t>Animal Licensing</w:t>
      </w:r>
    </w:p>
    <w:p w14:paraId="051F7B75" w14:textId="2EBEF36F" w:rsidR="00470831" w:rsidRPr="00CC4817" w:rsidRDefault="00470831" w:rsidP="00CC4817">
      <w:pPr>
        <w:pStyle w:val="ListParagraph"/>
        <w:numPr>
          <w:ilvl w:val="0"/>
          <w:numId w:val="11"/>
        </w:numPr>
        <w:rPr>
          <w:rFonts w:cstheme="minorHAnsi"/>
          <w:lang w:val="en-US"/>
        </w:rPr>
      </w:pPr>
      <w:r w:rsidRPr="00CC4817">
        <w:rPr>
          <w:rFonts w:cstheme="minorHAnsi"/>
          <w:lang w:val="en-US"/>
        </w:rPr>
        <w:t>The team inspect, license and enforce legislation regarding the licensing of animal establishments – pet shops, kennels, catteries, riding establishments, breeders, day care and exhibiting. The total of active licenses in the borough:</w:t>
      </w:r>
    </w:p>
    <w:p w14:paraId="23CFFDB7" w14:textId="77777777" w:rsidR="00470831" w:rsidRPr="00470831" w:rsidRDefault="00470831" w:rsidP="00470831">
      <w:pPr>
        <w:pStyle w:val="ListParagraph"/>
        <w:numPr>
          <w:ilvl w:val="0"/>
          <w:numId w:val="17"/>
        </w:numPr>
        <w:rPr>
          <w:rFonts w:cstheme="minorHAnsi"/>
        </w:rPr>
      </w:pPr>
      <w:r w:rsidRPr="00470831">
        <w:rPr>
          <w:rFonts w:cstheme="minorHAnsi"/>
        </w:rPr>
        <w:t>Dog breeding 10</w:t>
      </w:r>
    </w:p>
    <w:p w14:paraId="7D451085" w14:textId="256D6C69" w:rsidR="00470831" w:rsidRPr="00470831" w:rsidRDefault="00470831" w:rsidP="00470831">
      <w:pPr>
        <w:pStyle w:val="ListParagraph"/>
        <w:numPr>
          <w:ilvl w:val="0"/>
          <w:numId w:val="17"/>
        </w:numPr>
        <w:rPr>
          <w:rFonts w:cstheme="minorHAnsi"/>
        </w:rPr>
      </w:pPr>
      <w:r w:rsidRPr="00470831">
        <w:rPr>
          <w:rFonts w:cstheme="minorHAnsi"/>
        </w:rPr>
        <w:t xml:space="preserve">Animal </w:t>
      </w:r>
      <w:r w:rsidR="00B90333" w:rsidRPr="00470831">
        <w:rPr>
          <w:rFonts w:cstheme="minorHAnsi"/>
        </w:rPr>
        <w:t>boarding 39</w:t>
      </w:r>
    </w:p>
    <w:p w14:paraId="5D97C39D" w14:textId="6EA55CD4" w:rsidR="00470831" w:rsidRPr="00470831" w:rsidRDefault="00470831" w:rsidP="00470831">
      <w:pPr>
        <w:pStyle w:val="ListParagraph"/>
        <w:numPr>
          <w:ilvl w:val="0"/>
          <w:numId w:val="17"/>
        </w:numPr>
        <w:rPr>
          <w:rFonts w:cstheme="minorHAnsi"/>
        </w:rPr>
      </w:pPr>
      <w:r w:rsidRPr="00470831">
        <w:rPr>
          <w:rFonts w:cstheme="minorHAnsi"/>
        </w:rPr>
        <w:t xml:space="preserve">Selling </w:t>
      </w:r>
      <w:r w:rsidR="00B90333" w:rsidRPr="00470831">
        <w:rPr>
          <w:rFonts w:cstheme="minorHAnsi"/>
        </w:rPr>
        <w:t>pets 4</w:t>
      </w:r>
    </w:p>
    <w:p w14:paraId="22383D45" w14:textId="77777777" w:rsidR="00470831" w:rsidRPr="00470831" w:rsidRDefault="00470831" w:rsidP="00470831">
      <w:pPr>
        <w:pStyle w:val="ListParagraph"/>
        <w:numPr>
          <w:ilvl w:val="0"/>
          <w:numId w:val="17"/>
        </w:numPr>
        <w:rPr>
          <w:rFonts w:cstheme="minorHAnsi"/>
        </w:rPr>
      </w:pPr>
      <w:r w:rsidRPr="00470831">
        <w:rPr>
          <w:rFonts w:cstheme="minorHAnsi"/>
        </w:rPr>
        <w:lastRenderedPageBreak/>
        <w:t>Arranging boarding 2</w:t>
      </w:r>
    </w:p>
    <w:p w14:paraId="629354BC" w14:textId="77777777" w:rsidR="00470831" w:rsidRPr="00470831" w:rsidRDefault="00470831" w:rsidP="00470831">
      <w:pPr>
        <w:pStyle w:val="ListParagraph"/>
        <w:numPr>
          <w:ilvl w:val="0"/>
          <w:numId w:val="17"/>
        </w:numPr>
        <w:rPr>
          <w:rFonts w:cstheme="minorHAnsi"/>
        </w:rPr>
      </w:pPr>
      <w:r w:rsidRPr="00470831">
        <w:rPr>
          <w:rFonts w:cstheme="minorHAnsi"/>
        </w:rPr>
        <w:t xml:space="preserve">Training /exhibiting animals 5              </w:t>
      </w:r>
    </w:p>
    <w:p w14:paraId="492693E0" w14:textId="77777777" w:rsidR="00470831" w:rsidRPr="00470831" w:rsidRDefault="00470831" w:rsidP="00470831">
      <w:pPr>
        <w:pStyle w:val="Heading1"/>
        <w:rPr>
          <w:rFonts w:asciiTheme="minorHAnsi" w:hAnsiTheme="minorHAnsi" w:cstheme="minorHAnsi"/>
          <w:sz w:val="22"/>
          <w:szCs w:val="22"/>
          <w:lang w:val="en-US"/>
        </w:rPr>
      </w:pPr>
      <w:r w:rsidRPr="00470831">
        <w:rPr>
          <w:rFonts w:asciiTheme="minorHAnsi" w:hAnsiTheme="minorHAnsi" w:cstheme="minorHAnsi"/>
          <w:sz w:val="22"/>
          <w:szCs w:val="22"/>
          <w:lang w:val="en-US"/>
        </w:rPr>
        <w:t>Health and Safety</w:t>
      </w:r>
    </w:p>
    <w:p w14:paraId="0B7300A6" w14:textId="404DD580" w:rsidR="00470831" w:rsidRPr="00CC4817" w:rsidRDefault="00470831" w:rsidP="00470831">
      <w:pPr>
        <w:pStyle w:val="ListParagraph"/>
        <w:numPr>
          <w:ilvl w:val="0"/>
          <w:numId w:val="11"/>
        </w:numPr>
        <w:spacing w:after="0" w:line="240" w:lineRule="auto"/>
        <w:rPr>
          <w:rFonts w:cstheme="minorHAnsi"/>
          <w:lang w:val="en-US"/>
        </w:rPr>
      </w:pPr>
      <w:r w:rsidRPr="00CC4817">
        <w:rPr>
          <w:rFonts w:cstheme="minorHAnsi"/>
          <w:lang w:val="en-US"/>
        </w:rPr>
        <w:t>The team undertake inspections, licensing, and enforcement of premises for tattooing and skin piercing. Investigate accidents in the workplace and where possible provide business operators with guidance, support and advice. In total there are 240 beauty treatment issue</w:t>
      </w:r>
      <w:r w:rsidR="00B90333">
        <w:rPr>
          <w:rFonts w:cstheme="minorHAnsi"/>
          <w:lang w:val="en-US"/>
        </w:rPr>
        <w:t>s</w:t>
      </w:r>
      <w:r w:rsidRPr="00CC4817">
        <w:rPr>
          <w:rFonts w:cstheme="minorHAnsi"/>
          <w:lang w:val="en-US"/>
        </w:rPr>
        <w:t xml:space="preserve"> connect</w:t>
      </w:r>
      <w:r w:rsidR="00B90333">
        <w:rPr>
          <w:rFonts w:cstheme="minorHAnsi"/>
          <w:lang w:val="en-US"/>
        </w:rPr>
        <w:t>ed</w:t>
      </w:r>
      <w:r w:rsidRPr="00CC4817">
        <w:rPr>
          <w:rFonts w:cstheme="minorHAnsi"/>
          <w:lang w:val="en-US"/>
        </w:rPr>
        <w:t xml:space="preserve"> to tattooing and skin piercing. However, a review of those still active has not been conducted. </w:t>
      </w:r>
    </w:p>
    <w:p w14:paraId="58D08E57" w14:textId="77777777" w:rsidR="00153954" w:rsidRDefault="00153954" w:rsidP="00153954">
      <w:pPr>
        <w:pStyle w:val="ListParagraph"/>
        <w:spacing w:after="0" w:line="240" w:lineRule="auto"/>
        <w:ind w:left="360"/>
        <w:rPr>
          <w:rFonts w:cstheme="minorHAnsi"/>
          <w:lang w:val="en-US"/>
        </w:rPr>
      </w:pPr>
    </w:p>
    <w:p w14:paraId="6E3944FC" w14:textId="5342BC41" w:rsidR="00470831" w:rsidRPr="00CC4817" w:rsidRDefault="00470831" w:rsidP="00470831">
      <w:pPr>
        <w:pStyle w:val="ListParagraph"/>
        <w:numPr>
          <w:ilvl w:val="0"/>
          <w:numId w:val="11"/>
        </w:numPr>
        <w:spacing w:after="0" w:line="240" w:lineRule="auto"/>
        <w:rPr>
          <w:rFonts w:cstheme="minorHAnsi"/>
          <w:lang w:val="en-US"/>
        </w:rPr>
      </w:pPr>
      <w:r w:rsidRPr="00CC4817">
        <w:rPr>
          <w:rFonts w:cstheme="minorHAnsi"/>
          <w:lang w:val="en-US"/>
        </w:rPr>
        <w:t xml:space="preserve">The team </w:t>
      </w:r>
      <w:r w:rsidR="00B90333" w:rsidRPr="00CC4817">
        <w:rPr>
          <w:rFonts w:cstheme="minorHAnsi"/>
          <w:lang w:val="en-US"/>
        </w:rPr>
        <w:t>investigates</w:t>
      </w:r>
      <w:r w:rsidRPr="00CC4817">
        <w:rPr>
          <w:rFonts w:cstheme="minorHAnsi"/>
          <w:lang w:val="en-US"/>
        </w:rPr>
        <w:t xml:space="preserve"> accidents and near misses as required in connection with RIDDOR (reporting of injuries, diseases and dangerous occurrences. Comparing the period of 2018/19 to 2022/23 there has been a 75%increase in the number of reports relating to an accident resulting in hospital treatment reported to the authority. For the period of 22/23 there </w:t>
      </w:r>
      <w:r w:rsidR="00B90333" w:rsidRPr="00CC4817">
        <w:rPr>
          <w:rFonts w:cstheme="minorHAnsi"/>
          <w:lang w:val="en-US"/>
        </w:rPr>
        <w:t>were</w:t>
      </w:r>
      <w:r w:rsidRPr="00CC4817">
        <w:rPr>
          <w:rFonts w:cstheme="minorHAnsi"/>
          <w:lang w:val="en-US"/>
        </w:rPr>
        <w:t xml:space="preserve"> 59 RIDDORs received by the authority. </w:t>
      </w:r>
    </w:p>
    <w:p w14:paraId="73CC8510" w14:textId="77777777" w:rsidR="00153954" w:rsidRDefault="00153954" w:rsidP="00153954">
      <w:pPr>
        <w:pStyle w:val="ListParagraph"/>
        <w:spacing w:after="0" w:line="240" w:lineRule="auto"/>
        <w:ind w:left="360"/>
        <w:rPr>
          <w:rFonts w:cstheme="minorHAnsi"/>
          <w:lang w:val="en-US"/>
        </w:rPr>
      </w:pPr>
    </w:p>
    <w:p w14:paraId="26185D87" w14:textId="53F186C8" w:rsidR="00470831" w:rsidRPr="00CC4817" w:rsidRDefault="00470831" w:rsidP="00CC4817">
      <w:pPr>
        <w:pStyle w:val="ListParagraph"/>
        <w:numPr>
          <w:ilvl w:val="0"/>
          <w:numId w:val="11"/>
        </w:numPr>
        <w:spacing w:after="0" w:line="240" w:lineRule="auto"/>
        <w:rPr>
          <w:rFonts w:cstheme="minorHAnsi"/>
          <w:lang w:val="en-US"/>
        </w:rPr>
      </w:pPr>
      <w:r w:rsidRPr="00CC4817">
        <w:rPr>
          <w:rFonts w:cstheme="minorHAnsi"/>
          <w:lang w:val="en-US"/>
        </w:rPr>
        <w:t xml:space="preserve">The team have engaged in two proactive engagement campaigns relevant to priorities set out by the Health and Safety Executive. </w:t>
      </w:r>
    </w:p>
    <w:p w14:paraId="0FC8BFC4" w14:textId="77777777" w:rsidR="00470831" w:rsidRPr="00470831" w:rsidRDefault="00470831" w:rsidP="00CC4817">
      <w:pPr>
        <w:spacing w:after="0" w:line="240" w:lineRule="auto"/>
        <w:ind w:left="720"/>
        <w:rPr>
          <w:rFonts w:cstheme="minorHAnsi"/>
          <w:lang w:val="en-US"/>
        </w:rPr>
      </w:pPr>
    </w:p>
    <w:p w14:paraId="23716CC4" w14:textId="77777777" w:rsidR="00470831" w:rsidRPr="00470831" w:rsidRDefault="00470831" w:rsidP="00CC4817">
      <w:pPr>
        <w:spacing w:after="0" w:line="240" w:lineRule="auto"/>
        <w:ind w:left="720"/>
        <w:rPr>
          <w:rFonts w:cstheme="minorHAnsi"/>
          <w:lang w:val="en-US"/>
        </w:rPr>
      </w:pPr>
      <w:r w:rsidRPr="00470831">
        <w:rPr>
          <w:rFonts w:cstheme="minorHAnsi"/>
          <w:lang w:val="en-US"/>
        </w:rPr>
        <w:t xml:space="preserve">1 – Electrical Safety in hospitality settings with the increased concerns in connect with the cost of fuel and the number of businesses extending to outdoor areas following the pandemic. The team developed guidance and shared this with business provided self-assessment and undertaking advise visits and targeted inspections. </w:t>
      </w:r>
    </w:p>
    <w:p w14:paraId="51665546" w14:textId="77777777" w:rsidR="00470831" w:rsidRPr="00470831" w:rsidRDefault="00470831" w:rsidP="00CC4817">
      <w:pPr>
        <w:spacing w:after="0" w:line="240" w:lineRule="auto"/>
        <w:ind w:left="720"/>
        <w:rPr>
          <w:rFonts w:cstheme="minorHAnsi"/>
          <w:lang w:val="en-US"/>
        </w:rPr>
      </w:pPr>
    </w:p>
    <w:p w14:paraId="69CC962D" w14:textId="77777777" w:rsidR="00CC4817" w:rsidRDefault="00470831" w:rsidP="00CC4817">
      <w:pPr>
        <w:spacing w:after="0" w:line="240" w:lineRule="auto"/>
        <w:ind w:left="720"/>
        <w:rPr>
          <w:rFonts w:cstheme="minorHAnsi"/>
          <w:lang w:val="en-US"/>
        </w:rPr>
      </w:pPr>
      <w:r w:rsidRPr="00470831">
        <w:rPr>
          <w:rFonts w:cstheme="minorHAnsi"/>
          <w:lang w:val="en-US"/>
        </w:rPr>
        <w:t xml:space="preserve">2- Safe use of Inflatables – with increased nationwide related accidents and increase in community events following the ease of Covid-19 restrictions. The team developed guidance and shared this with relevant business and community groups, providing self-assessments and undertaking advise visits and targeted inspections.   </w:t>
      </w:r>
    </w:p>
    <w:p w14:paraId="609D9B8C" w14:textId="77777777" w:rsidR="00CC4817" w:rsidRPr="00CC4817" w:rsidRDefault="00CC4817" w:rsidP="00CC4817">
      <w:pPr>
        <w:pStyle w:val="Heading2"/>
      </w:pPr>
    </w:p>
    <w:p w14:paraId="5DE22F80" w14:textId="3E93607C" w:rsidR="00470831" w:rsidRDefault="00CC4817" w:rsidP="00CC4817">
      <w:pPr>
        <w:pStyle w:val="Heading2"/>
      </w:pPr>
      <w:r w:rsidRPr="00CC4817">
        <w:t xml:space="preserve">Business Plan Overview </w:t>
      </w:r>
      <w:r w:rsidR="00470831" w:rsidRPr="00CC4817">
        <w:t xml:space="preserve">  </w:t>
      </w:r>
    </w:p>
    <w:p w14:paraId="7EC6881B" w14:textId="77777777" w:rsidR="002769FD" w:rsidRDefault="002769FD" w:rsidP="00CC4817">
      <w:pPr>
        <w:pStyle w:val="Heading2"/>
      </w:pPr>
    </w:p>
    <w:p w14:paraId="0ADC9999" w14:textId="07349EEF" w:rsidR="002769FD" w:rsidRPr="002769FD" w:rsidRDefault="002769FD" w:rsidP="002769FD">
      <w:pPr>
        <w:pStyle w:val="Heading2"/>
        <w:numPr>
          <w:ilvl w:val="0"/>
          <w:numId w:val="11"/>
        </w:numPr>
        <w:rPr>
          <w:b w:val="0"/>
          <w:bCs w:val="0"/>
        </w:rPr>
      </w:pPr>
      <w:r w:rsidRPr="002769FD">
        <w:rPr>
          <w:b w:val="0"/>
          <w:bCs w:val="0"/>
        </w:rPr>
        <w:t>The Environmental Health business plan projects are developed and centred around improvements to service and identified areas where risks public health and the environment could be reduced, aside from the service statutory services. Below are the key projects agreed to be delivered throughout 23/24</w:t>
      </w:r>
    </w:p>
    <w:p w14:paraId="2B9EB823" w14:textId="77777777" w:rsidR="00CC4817" w:rsidRDefault="00CC4817" w:rsidP="00CC4817">
      <w:pPr>
        <w:pStyle w:val="Heading2"/>
      </w:pPr>
    </w:p>
    <w:tbl>
      <w:tblPr>
        <w:tblStyle w:val="TableGrid"/>
        <w:tblW w:w="9016" w:type="dxa"/>
        <w:tblLook w:val="04A0" w:firstRow="1" w:lastRow="0" w:firstColumn="1" w:lastColumn="0" w:noHBand="0" w:noVBand="1"/>
      </w:tblPr>
      <w:tblGrid>
        <w:gridCol w:w="4573"/>
        <w:gridCol w:w="4443"/>
      </w:tblGrid>
      <w:tr w:rsidR="00CC4817" w:rsidRPr="00640C86" w14:paraId="18DA42BE" w14:textId="57A8AD35" w:rsidTr="00CC4817">
        <w:trPr>
          <w:trHeight w:val="504"/>
        </w:trPr>
        <w:tc>
          <w:tcPr>
            <w:tcW w:w="4573" w:type="dxa"/>
            <w:shd w:val="clear" w:color="auto" w:fill="D9D9D9" w:themeFill="background1" w:themeFillShade="D9"/>
          </w:tcPr>
          <w:p w14:paraId="4F2F7F4E" w14:textId="77777777" w:rsidR="00CC4817" w:rsidRDefault="00CC4817" w:rsidP="008C161E">
            <w:pPr>
              <w:rPr>
                <w:rFonts w:cs="Arial"/>
                <w:b/>
                <w:bCs/>
                <w:lang w:val="en-US"/>
              </w:rPr>
            </w:pPr>
            <w:r>
              <w:rPr>
                <w:rFonts w:cs="Arial"/>
                <w:b/>
                <w:bCs/>
                <w:lang w:val="en-US"/>
              </w:rPr>
              <w:t xml:space="preserve">Key project or </w:t>
            </w:r>
            <w:r w:rsidRPr="007F50A8">
              <w:rPr>
                <w:rFonts w:cs="Arial"/>
                <w:b/>
                <w:bCs/>
              </w:rPr>
              <w:t>programme</w:t>
            </w:r>
          </w:p>
        </w:tc>
        <w:tc>
          <w:tcPr>
            <w:tcW w:w="4443" w:type="dxa"/>
            <w:shd w:val="clear" w:color="auto" w:fill="D9D9D9" w:themeFill="background1" w:themeFillShade="D9"/>
          </w:tcPr>
          <w:p w14:paraId="7D09A2D1" w14:textId="16FE1ECA" w:rsidR="00CC4817" w:rsidRDefault="00CC4817" w:rsidP="008C161E">
            <w:pPr>
              <w:rPr>
                <w:rFonts w:cs="Arial"/>
                <w:b/>
                <w:bCs/>
                <w:lang w:val="en-US"/>
              </w:rPr>
            </w:pPr>
            <w:r>
              <w:rPr>
                <w:rFonts w:cs="Arial"/>
                <w:b/>
                <w:bCs/>
                <w:lang w:val="en-US"/>
              </w:rPr>
              <w:t xml:space="preserve">Update </w:t>
            </w:r>
          </w:p>
        </w:tc>
      </w:tr>
      <w:tr w:rsidR="00CC4817" w14:paraId="03B46B82" w14:textId="75B82096" w:rsidTr="00CC4817">
        <w:trPr>
          <w:trHeight w:val="668"/>
        </w:trPr>
        <w:tc>
          <w:tcPr>
            <w:tcW w:w="4573" w:type="dxa"/>
            <w:vAlign w:val="center"/>
          </w:tcPr>
          <w:p w14:paraId="3BD7A471" w14:textId="77777777" w:rsidR="00CC4817" w:rsidRDefault="00CC4817" w:rsidP="008C161E">
            <w:pPr>
              <w:rPr>
                <w:rFonts w:cs="Arial"/>
                <w:lang w:val="en-US"/>
              </w:rPr>
            </w:pPr>
            <w:r w:rsidRPr="00F13F26">
              <w:rPr>
                <w:rFonts w:cs="Arial"/>
                <w:b/>
                <w:bCs/>
                <w:lang w:val="en-US"/>
              </w:rPr>
              <w:t>Pest Control</w:t>
            </w:r>
            <w:r>
              <w:rPr>
                <w:rFonts w:cs="Arial"/>
                <w:lang w:val="en-US"/>
              </w:rPr>
              <w:t xml:space="preserve"> </w:t>
            </w:r>
          </w:p>
          <w:p w14:paraId="5ACC5073" w14:textId="77777777" w:rsidR="00CC4817" w:rsidRDefault="00CC4817" w:rsidP="008C161E">
            <w:pPr>
              <w:rPr>
                <w:rFonts w:cs="Arial"/>
                <w:lang w:val="en-US"/>
              </w:rPr>
            </w:pPr>
            <w:r>
              <w:rPr>
                <w:rFonts w:cs="Arial"/>
                <w:lang w:val="en-US"/>
              </w:rPr>
              <w:t xml:space="preserve">Undertake a Full-Service Review – </w:t>
            </w:r>
          </w:p>
          <w:p w14:paraId="6B373DF7" w14:textId="77777777" w:rsidR="00CC4817" w:rsidRDefault="00CC4817" w:rsidP="008C161E">
            <w:pPr>
              <w:rPr>
                <w:rFonts w:cs="Arial"/>
                <w:lang w:val="en-US"/>
              </w:rPr>
            </w:pPr>
            <w:r>
              <w:rPr>
                <w:rFonts w:cs="Arial"/>
                <w:lang w:val="en-US"/>
              </w:rPr>
              <w:t xml:space="preserve">Implement Common Mobile Working Platform </w:t>
            </w:r>
          </w:p>
          <w:p w14:paraId="4151260A" w14:textId="77777777" w:rsidR="00CC4817" w:rsidRDefault="00CC4817" w:rsidP="008C161E">
            <w:pPr>
              <w:rPr>
                <w:rFonts w:cs="Arial"/>
                <w:lang w:val="en-US"/>
              </w:rPr>
            </w:pPr>
            <w:r>
              <w:rPr>
                <w:rFonts w:cs="Arial"/>
                <w:lang w:val="en-US"/>
              </w:rPr>
              <w:t xml:space="preserve">Review of Chargeable Service including Commercial Contracts. </w:t>
            </w:r>
          </w:p>
          <w:p w14:paraId="612D2A78" w14:textId="77777777" w:rsidR="00CC4817" w:rsidRPr="00141768" w:rsidRDefault="00CC4817" w:rsidP="008C161E">
            <w:pPr>
              <w:rPr>
                <w:rFonts w:cs="Arial"/>
                <w:lang w:val="en-US"/>
              </w:rPr>
            </w:pPr>
          </w:p>
        </w:tc>
        <w:tc>
          <w:tcPr>
            <w:tcW w:w="4443" w:type="dxa"/>
          </w:tcPr>
          <w:p w14:paraId="2D8997DB" w14:textId="3F4DFED3" w:rsidR="00CC4817" w:rsidRPr="002769FD" w:rsidRDefault="00CC4817" w:rsidP="008C161E">
            <w:pPr>
              <w:rPr>
                <w:rFonts w:cs="Arial"/>
                <w:color w:val="FF0000"/>
                <w:lang w:val="en-US"/>
              </w:rPr>
            </w:pPr>
            <w:r w:rsidRPr="002769FD">
              <w:rPr>
                <w:rFonts w:cs="Arial"/>
                <w:color w:val="FF0000"/>
                <w:lang w:val="en-US"/>
              </w:rPr>
              <w:t xml:space="preserve">ICT have not currently been in a position to progress improvements with a common mobile working </w:t>
            </w:r>
            <w:r w:rsidR="00B90333" w:rsidRPr="002769FD">
              <w:rPr>
                <w:rFonts w:cs="Arial"/>
                <w:color w:val="FF0000"/>
                <w:lang w:val="en-US"/>
              </w:rPr>
              <w:t>platform.</w:t>
            </w:r>
          </w:p>
          <w:p w14:paraId="3EDA3CC6" w14:textId="77777777" w:rsidR="00CC4817" w:rsidRDefault="00CC4817" w:rsidP="008C161E">
            <w:pPr>
              <w:rPr>
                <w:rFonts w:cs="Arial"/>
                <w:lang w:val="en-US"/>
              </w:rPr>
            </w:pPr>
          </w:p>
          <w:p w14:paraId="14441C98" w14:textId="0B8D9764" w:rsidR="00CC4817" w:rsidRPr="002769FD" w:rsidRDefault="00CC4817" w:rsidP="008C161E">
            <w:pPr>
              <w:rPr>
                <w:rFonts w:cs="Arial"/>
                <w:color w:val="76923C" w:themeColor="accent3" w:themeShade="BF"/>
                <w:lang w:val="en-US"/>
              </w:rPr>
            </w:pPr>
            <w:r w:rsidRPr="002769FD">
              <w:rPr>
                <w:rFonts w:cs="Arial"/>
                <w:color w:val="76923C" w:themeColor="accent3" w:themeShade="BF"/>
                <w:lang w:val="en-US"/>
              </w:rPr>
              <w:t xml:space="preserve">Domestic and </w:t>
            </w:r>
            <w:r w:rsidR="002769FD" w:rsidRPr="002769FD">
              <w:rPr>
                <w:rFonts w:cs="Arial"/>
                <w:color w:val="76923C" w:themeColor="accent3" w:themeShade="BF"/>
                <w:lang w:val="en-US"/>
              </w:rPr>
              <w:t>Chargeable</w:t>
            </w:r>
            <w:r w:rsidRPr="002769FD">
              <w:rPr>
                <w:rFonts w:cs="Arial"/>
                <w:color w:val="76923C" w:themeColor="accent3" w:themeShade="BF"/>
                <w:lang w:val="en-US"/>
              </w:rPr>
              <w:t xml:space="preserve"> Service have been reviewed and updated. </w:t>
            </w:r>
          </w:p>
          <w:p w14:paraId="50753609" w14:textId="77777777" w:rsidR="00CC4817" w:rsidRDefault="00CC4817" w:rsidP="008C161E">
            <w:pPr>
              <w:rPr>
                <w:rFonts w:cs="Arial"/>
                <w:lang w:val="en-US"/>
              </w:rPr>
            </w:pPr>
          </w:p>
          <w:p w14:paraId="33C713A7" w14:textId="6E053EB2" w:rsidR="00CC4817" w:rsidRPr="00CC4817" w:rsidRDefault="00CC4817" w:rsidP="008C161E">
            <w:pPr>
              <w:rPr>
                <w:rFonts w:cs="Arial"/>
                <w:lang w:val="en-US"/>
              </w:rPr>
            </w:pPr>
            <w:r w:rsidRPr="002769FD">
              <w:rPr>
                <w:rFonts w:cs="Arial"/>
                <w:color w:val="FF0000"/>
                <w:lang w:val="en-US"/>
              </w:rPr>
              <w:t xml:space="preserve">Commercial Contract Fees will be reviewed in line with </w:t>
            </w:r>
            <w:r w:rsidR="002769FD" w:rsidRPr="002769FD">
              <w:rPr>
                <w:rFonts w:cs="Arial"/>
                <w:color w:val="FF0000"/>
                <w:lang w:val="en-US"/>
              </w:rPr>
              <w:t>the introduction and a new management system when ICT are able to support it.</w:t>
            </w:r>
            <w:r w:rsidR="002769FD">
              <w:rPr>
                <w:rFonts w:cs="Arial"/>
                <w:color w:val="FF0000"/>
                <w:lang w:val="en-US"/>
              </w:rPr>
              <w:t xml:space="preserve"> New Commercial contracts are restricted until a new management system is developed to ensure an efficient and modern service is offered. </w:t>
            </w:r>
          </w:p>
        </w:tc>
      </w:tr>
      <w:tr w:rsidR="00CC4817" w14:paraId="53539770" w14:textId="7749BC90" w:rsidTr="00CC4817">
        <w:trPr>
          <w:trHeight w:val="668"/>
        </w:trPr>
        <w:tc>
          <w:tcPr>
            <w:tcW w:w="4573" w:type="dxa"/>
            <w:vAlign w:val="center"/>
          </w:tcPr>
          <w:p w14:paraId="5A5ED048" w14:textId="77777777" w:rsidR="00CC4817" w:rsidRDefault="00CC4817" w:rsidP="008C161E">
            <w:pPr>
              <w:rPr>
                <w:rFonts w:cs="Arial"/>
                <w:b/>
                <w:bCs/>
                <w:lang w:val="en-US"/>
              </w:rPr>
            </w:pPr>
            <w:r>
              <w:rPr>
                <w:rFonts w:cs="Arial"/>
                <w:b/>
                <w:bCs/>
                <w:lang w:val="en-US"/>
              </w:rPr>
              <w:lastRenderedPageBreak/>
              <w:t xml:space="preserve">Housing Standards </w:t>
            </w:r>
          </w:p>
          <w:p w14:paraId="0269393F" w14:textId="77777777" w:rsidR="00CC4817" w:rsidRPr="00BC3423" w:rsidRDefault="00CC4817" w:rsidP="008C161E">
            <w:pPr>
              <w:rPr>
                <w:rFonts w:cs="Arial"/>
                <w:lang w:val="en-US"/>
              </w:rPr>
            </w:pPr>
            <w:r>
              <w:rPr>
                <w:rFonts w:cs="Arial"/>
                <w:lang w:val="en-US"/>
              </w:rPr>
              <w:t xml:space="preserve">Implement a Minimum Amenities Standard for Licensable Houses of Multiple Occupation  </w:t>
            </w:r>
          </w:p>
        </w:tc>
        <w:tc>
          <w:tcPr>
            <w:tcW w:w="4443" w:type="dxa"/>
          </w:tcPr>
          <w:p w14:paraId="62D3EAC7" w14:textId="39A5CD25" w:rsidR="00CC4817" w:rsidRPr="002769FD" w:rsidRDefault="002769FD" w:rsidP="008C161E">
            <w:pPr>
              <w:rPr>
                <w:rFonts w:cs="Arial"/>
                <w:lang w:val="en-US"/>
              </w:rPr>
            </w:pPr>
            <w:r w:rsidRPr="002769FD">
              <w:rPr>
                <w:rFonts w:cs="Arial"/>
                <w:color w:val="FFC000"/>
                <w:lang w:val="en-US"/>
              </w:rPr>
              <w:t>The draft standard is prepared ready for review and sign off</w:t>
            </w:r>
          </w:p>
        </w:tc>
      </w:tr>
      <w:tr w:rsidR="00CC4817" w14:paraId="26C971AA" w14:textId="76E2C7E7" w:rsidTr="00CC4817">
        <w:trPr>
          <w:trHeight w:val="668"/>
        </w:trPr>
        <w:tc>
          <w:tcPr>
            <w:tcW w:w="4573" w:type="dxa"/>
            <w:vAlign w:val="center"/>
          </w:tcPr>
          <w:p w14:paraId="7BA9A3F6" w14:textId="77777777" w:rsidR="00CC4817" w:rsidRDefault="00CC4817" w:rsidP="008C161E">
            <w:pPr>
              <w:rPr>
                <w:rFonts w:cs="Arial"/>
                <w:b/>
                <w:bCs/>
                <w:lang w:val="en-US"/>
              </w:rPr>
            </w:pPr>
            <w:r w:rsidRPr="009979D9">
              <w:rPr>
                <w:rFonts w:cs="Arial"/>
                <w:b/>
                <w:bCs/>
                <w:lang w:val="en-US"/>
              </w:rPr>
              <w:t xml:space="preserve">Public Health </w:t>
            </w:r>
          </w:p>
          <w:p w14:paraId="36040536" w14:textId="77777777" w:rsidR="00CC4817" w:rsidRDefault="00CC4817" w:rsidP="008C161E">
            <w:pPr>
              <w:rPr>
                <w:rFonts w:cs="Arial"/>
                <w:b/>
                <w:bCs/>
                <w:lang w:val="en-US"/>
              </w:rPr>
            </w:pPr>
            <w:r w:rsidRPr="009979D9">
              <w:rPr>
                <w:rFonts w:cs="Arial"/>
                <w:lang w:val="en-US"/>
              </w:rPr>
              <w:t>Develop local Incentives to Support Lancashire County Councils Recipe for Health</w:t>
            </w:r>
          </w:p>
        </w:tc>
        <w:tc>
          <w:tcPr>
            <w:tcW w:w="4443" w:type="dxa"/>
          </w:tcPr>
          <w:p w14:paraId="2BBC30D6" w14:textId="72617A82" w:rsidR="00CC4817" w:rsidRPr="00F71906" w:rsidRDefault="002769FD" w:rsidP="008C161E">
            <w:pPr>
              <w:rPr>
                <w:rFonts w:cs="Arial"/>
                <w:color w:val="FFC000"/>
                <w:lang w:val="en-US"/>
              </w:rPr>
            </w:pPr>
            <w:r w:rsidRPr="00F71906">
              <w:rPr>
                <w:rFonts w:cs="Arial"/>
                <w:color w:val="FFC000"/>
                <w:lang w:val="en-US"/>
              </w:rPr>
              <w:t xml:space="preserve">The incentives </w:t>
            </w:r>
            <w:r w:rsidR="00F71906" w:rsidRPr="00F71906">
              <w:rPr>
                <w:rFonts w:cs="Arial"/>
                <w:color w:val="FFC000"/>
                <w:lang w:val="en-US"/>
              </w:rPr>
              <w:t>intended</w:t>
            </w:r>
            <w:r w:rsidRPr="00F71906">
              <w:rPr>
                <w:rFonts w:cs="Arial"/>
                <w:color w:val="FFC000"/>
                <w:lang w:val="en-US"/>
              </w:rPr>
              <w:t xml:space="preserve"> </w:t>
            </w:r>
            <w:r w:rsidR="00F71906" w:rsidRPr="00F71906">
              <w:rPr>
                <w:rFonts w:cs="Arial"/>
                <w:color w:val="FFC000"/>
                <w:lang w:val="en-US"/>
              </w:rPr>
              <w:t xml:space="preserve">were </w:t>
            </w:r>
            <w:r w:rsidRPr="00F71906">
              <w:rPr>
                <w:rFonts w:cs="Arial"/>
                <w:color w:val="FFC000"/>
                <w:lang w:val="en-US"/>
              </w:rPr>
              <w:t xml:space="preserve">to </w:t>
            </w:r>
            <w:r w:rsidR="00F71906" w:rsidRPr="00F71906">
              <w:rPr>
                <w:rFonts w:cs="Arial"/>
                <w:color w:val="FFC000"/>
                <w:lang w:val="en-US"/>
              </w:rPr>
              <w:t xml:space="preserve">provide discounts or benefits to council services, to support uptake of the scheme. Services such as food hygiene training and reduced pest control commercial contracts. </w:t>
            </w:r>
          </w:p>
          <w:p w14:paraId="398B6BB1" w14:textId="77777777" w:rsidR="00F71906" w:rsidRPr="00F71906" w:rsidRDefault="00F71906" w:rsidP="008C161E">
            <w:pPr>
              <w:rPr>
                <w:rFonts w:cs="Arial"/>
                <w:color w:val="FFC000"/>
                <w:lang w:val="en-US"/>
              </w:rPr>
            </w:pPr>
          </w:p>
          <w:p w14:paraId="7848E37B" w14:textId="5B709F8F" w:rsidR="00F71906" w:rsidRPr="00F71906" w:rsidRDefault="00F71906" w:rsidP="008C161E">
            <w:pPr>
              <w:rPr>
                <w:rFonts w:cs="Arial"/>
                <w:color w:val="FFC000"/>
                <w:lang w:val="en-US"/>
              </w:rPr>
            </w:pPr>
            <w:r w:rsidRPr="00F71906">
              <w:rPr>
                <w:rFonts w:cs="Arial"/>
                <w:color w:val="FFC000"/>
                <w:lang w:val="en-US"/>
              </w:rPr>
              <w:t xml:space="preserve">However, due to the delay in ICT improvements to support new system management – how the scheme can be alternativity supported is in discussion. </w:t>
            </w:r>
          </w:p>
          <w:p w14:paraId="751BF388" w14:textId="175A24F7" w:rsidR="00F71906" w:rsidRPr="009979D9" w:rsidRDefault="00F71906" w:rsidP="008C161E">
            <w:pPr>
              <w:rPr>
                <w:rFonts w:cs="Arial"/>
                <w:b/>
                <w:bCs/>
                <w:lang w:val="en-US"/>
              </w:rPr>
            </w:pPr>
            <w:r>
              <w:rPr>
                <w:rFonts w:cs="Arial"/>
                <w:b/>
                <w:bCs/>
                <w:lang w:val="en-US"/>
              </w:rPr>
              <w:t xml:space="preserve"> </w:t>
            </w:r>
          </w:p>
        </w:tc>
      </w:tr>
      <w:tr w:rsidR="00CC4817" w14:paraId="225CF1E3" w14:textId="4C5AAA1B" w:rsidTr="00CC4817">
        <w:trPr>
          <w:trHeight w:val="668"/>
        </w:trPr>
        <w:tc>
          <w:tcPr>
            <w:tcW w:w="4573" w:type="dxa"/>
            <w:vAlign w:val="center"/>
          </w:tcPr>
          <w:p w14:paraId="7ED85315" w14:textId="77777777" w:rsidR="00CC4817" w:rsidRDefault="00CC4817" w:rsidP="008C161E">
            <w:pPr>
              <w:rPr>
                <w:rFonts w:cs="Arial"/>
                <w:b/>
                <w:bCs/>
                <w:lang w:val="en-US"/>
              </w:rPr>
            </w:pPr>
            <w:r>
              <w:rPr>
                <w:rFonts w:cs="Arial"/>
                <w:b/>
                <w:bCs/>
                <w:lang w:val="en-US"/>
              </w:rPr>
              <w:t xml:space="preserve">Health and Safety </w:t>
            </w:r>
          </w:p>
          <w:p w14:paraId="4BF850A7" w14:textId="77777777" w:rsidR="00CC4817" w:rsidRPr="00C05F47" w:rsidRDefault="00CC4817" w:rsidP="008C161E">
            <w:pPr>
              <w:rPr>
                <w:rFonts w:ascii="Calibri" w:eastAsia="Times New Roman" w:hAnsi="Calibri"/>
              </w:rPr>
            </w:pPr>
            <w:r w:rsidRPr="00C05F47">
              <w:rPr>
                <w:rFonts w:eastAsia="Times New Roman"/>
              </w:rPr>
              <w:t>To review the current byelaws in place for registration of beauty treatments in line with modern practices and achieve Secretary of State approval</w:t>
            </w:r>
            <w:r>
              <w:rPr>
                <w:rFonts w:eastAsia="Times New Roman"/>
              </w:rPr>
              <w:t xml:space="preserve"> in connection with the </w:t>
            </w:r>
            <w:r w:rsidRPr="00C05F47">
              <w:rPr>
                <w:rFonts w:eastAsia="Times New Roman"/>
              </w:rPr>
              <w:t>Health and Care Act 2022</w:t>
            </w:r>
          </w:p>
          <w:p w14:paraId="103AF29C" w14:textId="77777777" w:rsidR="00CC4817" w:rsidRDefault="00CC4817" w:rsidP="008C161E">
            <w:pPr>
              <w:rPr>
                <w:rFonts w:cs="Arial"/>
                <w:b/>
                <w:bCs/>
                <w:lang w:val="en-US"/>
              </w:rPr>
            </w:pPr>
          </w:p>
        </w:tc>
        <w:tc>
          <w:tcPr>
            <w:tcW w:w="4443" w:type="dxa"/>
          </w:tcPr>
          <w:p w14:paraId="33A0AC5F" w14:textId="77777777" w:rsidR="00F71906" w:rsidRDefault="00F71906" w:rsidP="008C161E">
            <w:pPr>
              <w:rPr>
                <w:rFonts w:cs="Arial"/>
                <w:color w:val="FFC000"/>
                <w:lang w:val="en-US"/>
              </w:rPr>
            </w:pPr>
          </w:p>
          <w:p w14:paraId="4D3CB7D5" w14:textId="795B0376" w:rsidR="00CC4817" w:rsidRPr="00F71906" w:rsidRDefault="002769FD" w:rsidP="008C161E">
            <w:pPr>
              <w:rPr>
                <w:rFonts w:cs="Arial"/>
                <w:lang w:val="en-US"/>
              </w:rPr>
            </w:pPr>
            <w:r w:rsidRPr="00F71906">
              <w:rPr>
                <w:rFonts w:cs="Arial"/>
                <w:color w:val="FFC000"/>
                <w:lang w:val="en-US"/>
              </w:rPr>
              <w:t xml:space="preserve">Ongoing – Staff training </w:t>
            </w:r>
            <w:r w:rsidR="00F71906" w:rsidRPr="00F71906">
              <w:rPr>
                <w:rFonts w:cs="Arial"/>
                <w:color w:val="FFC000"/>
                <w:lang w:val="en-US"/>
              </w:rPr>
              <w:t xml:space="preserve">and Information being reviewed and accessed </w:t>
            </w:r>
          </w:p>
        </w:tc>
      </w:tr>
      <w:tr w:rsidR="00CC4817" w14:paraId="6364D885" w14:textId="2D65410B" w:rsidTr="00CC4817">
        <w:trPr>
          <w:trHeight w:val="668"/>
        </w:trPr>
        <w:tc>
          <w:tcPr>
            <w:tcW w:w="4573" w:type="dxa"/>
            <w:vAlign w:val="center"/>
          </w:tcPr>
          <w:p w14:paraId="121766BD" w14:textId="77777777" w:rsidR="00CC4817" w:rsidRPr="00774239" w:rsidRDefault="00CC4817" w:rsidP="008C161E">
            <w:pPr>
              <w:rPr>
                <w:rFonts w:cs="Arial"/>
                <w:b/>
                <w:bCs/>
                <w:lang w:val="en-US"/>
              </w:rPr>
            </w:pPr>
            <w:r>
              <w:rPr>
                <w:rFonts w:cs="Arial"/>
                <w:b/>
                <w:bCs/>
                <w:lang w:val="en-US"/>
              </w:rPr>
              <w:t xml:space="preserve">Community Safety </w:t>
            </w:r>
          </w:p>
          <w:p w14:paraId="26CD2944" w14:textId="77777777" w:rsidR="00CC4817" w:rsidRPr="004E4EA1" w:rsidRDefault="00CC4817" w:rsidP="008C161E">
            <w:pPr>
              <w:rPr>
                <w:rFonts w:cs="Arial"/>
                <w:lang w:val="en-US"/>
              </w:rPr>
            </w:pPr>
            <w:r w:rsidRPr="004E4EA1">
              <w:rPr>
                <w:rFonts w:cs="Arial"/>
                <w:lang w:val="en-US"/>
              </w:rPr>
              <w:t xml:space="preserve">Review to increase the council’s accessible CCTV </w:t>
            </w:r>
          </w:p>
        </w:tc>
        <w:tc>
          <w:tcPr>
            <w:tcW w:w="4443" w:type="dxa"/>
          </w:tcPr>
          <w:p w14:paraId="207D1498" w14:textId="57CDC2C6" w:rsidR="00CC4817" w:rsidRPr="00AE34BD" w:rsidRDefault="00AE34BD" w:rsidP="008C161E">
            <w:pPr>
              <w:rPr>
                <w:rFonts w:cs="Arial"/>
                <w:b/>
                <w:bCs/>
                <w:color w:val="FFC000"/>
                <w:lang w:val="en-US"/>
              </w:rPr>
            </w:pPr>
            <w:r w:rsidRPr="00AE34BD">
              <w:rPr>
                <w:rStyle w:val="ui-provider"/>
                <w:color w:val="FFC000"/>
              </w:rPr>
              <w:t xml:space="preserve">A review of CCTV across South Ribble is </w:t>
            </w:r>
            <w:r w:rsidR="00B90333" w:rsidRPr="00AE34BD">
              <w:rPr>
                <w:rStyle w:val="ui-provider"/>
                <w:color w:val="FFC000"/>
              </w:rPr>
              <w:t>underway,</w:t>
            </w:r>
            <w:r w:rsidRPr="00AE34BD">
              <w:rPr>
                <w:rStyle w:val="ui-provider"/>
                <w:color w:val="FFC000"/>
              </w:rPr>
              <w:t xml:space="preserve"> and a meeting has been held </w:t>
            </w:r>
            <w:r w:rsidR="00CA253A">
              <w:rPr>
                <w:rStyle w:val="ui-provider"/>
                <w:color w:val="FFC000"/>
              </w:rPr>
              <w:t xml:space="preserve">and </w:t>
            </w:r>
            <w:r w:rsidRPr="00AE34BD">
              <w:rPr>
                <w:rStyle w:val="ui-provider"/>
                <w:color w:val="FFC000"/>
              </w:rPr>
              <w:t xml:space="preserve">Police </w:t>
            </w:r>
            <w:r w:rsidR="00B90333">
              <w:rPr>
                <w:rStyle w:val="ui-provider"/>
                <w:color w:val="FFC000"/>
              </w:rPr>
              <w:t>Consultation -</w:t>
            </w:r>
            <w:r w:rsidR="00CA253A">
              <w:rPr>
                <w:rStyle w:val="ui-provider"/>
                <w:color w:val="FFC000"/>
              </w:rPr>
              <w:t xml:space="preserve"> Mapping exercises completed. </w:t>
            </w:r>
          </w:p>
        </w:tc>
      </w:tr>
    </w:tbl>
    <w:p w14:paraId="536E03C5" w14:textId="77777777" w:rsidR="00CC4817" w:rsidRPr="00CC4817" w:rsidRDefault="00CC4817" w:rsidP="00CC4817">
      <w:pPr>
        <w:pStyle w:val="Heading2"/>
      </w:pPr>
    </w:p>
    <w:p w14:paraId="49452FDE" w14:textId="0819B1EC" w:rsidR="00470831" w:rsidRPr="00470831" w:rsidRDefault="00470831" w:rsidP="00470831">
      <w:pPr>
        <w:pStyle w:val="Heading1"/>
        <w:rPr>
          <w:rFonts w:asciiTheme="minorHAnsi" w:hAnsiTheme="minorHAnsi" w:cstheme="minorHAnsi"/>
          <w:sz w:val="22"/>
          <w:szCs w:val="22"/>
          <w:lang w:val="en-US"/>
        </w:rPr>
      </w:pPr>
      <w:r w:rsidRPr="00470831">
        <w:rPr>
          <w:rFonts w:asciiTheme="minorHAnsi" w:hAnsiTheme="minorHAnsi" w:cstheme="minorHAnsi"/>
          <w:sz w:val="22"/>
          <w:szCs w:val="22"/>
          <w:lang w:val="en-US"/>
        </w:rPr>
        <w:t xml:space="preserve">Other Service Information </w:t>
      </w:r>
    </w:p>
    <w:p w14:paraId="028C953A" w14:textId="0F8B9A8A" w:rsidR="00470831" w:rsidRPr="00F71906" w:rsidRDefault="00470831" w:rsidP="00F71906">
      <w:pPr>
        <w:pStyle w:val="ListParagraph"/>
        <w:numPr>
          <w:ilvl w:val="0"/>
          <w:numId w:val="11"/>
        </w:numPr>
        <w:spacing w:after="0" w:line="240" w:lineRule="auto"/>
        <w:rPr>
          <w:rFonts w:cstheme="minorHAnsi"/>
          <w:lang w:val="en-US"/>
        </w:rPr>
      </w:pPr>
      <w:r w:rsidRPr="00F71906">
        <w:rPr>
          <w:rFonts w:cstheme="minorHAnsi"/>
          <w:lang w:val="en-US"/>
        </w:rPr>
        <w:t xml:space="preserve">The service has had the opportunity and pleasure through dedicated funding to support various interns across the team over the past 3 years. Which provides the authority with dedicated support in achieving aims and objectives related to proactive projects to improve public health and the environment. Whilst supporting their knowledge and experience for their personal education and career development. </w:t>
      </w:r>
    </w:p>
    <w:p w14:paraId="664593EE" w14:textId="77777777" w:rsidR="00470831" w:rsidRPr="00470831" w:rsidRDefault="00470831" w:rsidP="00470831">
      <w:pPr>
        <w:spacing w:after="0" w:line="240" w:lineRule="auto"/>
        <w:rPr>
          <w:rFonts w:cstheme="minorHAnsi"/>
          <w:lang w:val="en-US"/>
        </w:rPr>
      </w:pPr>
    </w:p>
    <w:p w14:paraId="164904B5" w14:textId="0B87CE42" w:rsidR="00470831" w:rsidRPr="00F71906" w:rsidRDefault="00470831" w:rsidP="00F71906">
      <w:pPr>
        <w:pStyle w:val="ListParagraph"/>
        <w:numPr>
          <w:ilvl w:val="0"/>
          <w:numId w:val="11"/>
        </w:numPr>
        <w:spacing w:after="0" w:line="240" w:lineRule="auto"/>
        <w:rPr>
          <w:rFonts w:cstheme="minorHAnsi"/>
          <w:lang w:val="en-US"/>
        </w:rPr>
      </w:pPr>
      <w:r w:rsidRPr="00F71906">
        <w:rPr>
          <w:rFonts w:cstheme="minorHAnsi"/>
          <w:lang w:val="en-US"/>
        </w:rPr>
        <w:t xml:space="preserve">The team have appointed a 12-month Graduate Environmental Health Practitioner, growing our own officers is imperative to help support the team to have qualified and competent staff to deliver its statutory functions effectively. </w:t>
      </w:r>
    </w:p>
    <w:p w14:paraId="0A4645CF" w14:textId="77777777" w:rsidR="00470831" w:rsidRPr="00470831" w:rsidRDefault="00470831" w:rsidP="00470831">
      <w:pPr>
        <w:spacing w:after="0" w:line="240" w:lineRule="auto"/>
        <w:rPr>
          <w:rFonts w:cstheme="minorHAnsi"/>
          <w:lang w:val="en-US"/>
        </w:rPr>
      </w:pPr>
    </w:p>
    <w:p w14:paraId="114737B9" w14:textId="1FCC5F44" w:rsidR="00470831" w:rsidRPr="00F71906" w:rsidRDefault="00470831" w:rsidP="00F71906">
      <w:pPr>
        <w:pStyle w:val="ListParagraph"/>
        <w:numPr>
          <w:ilvl w:val="0"/>
          <w:numId w:val="11"/>
        </w:numPr>
        <w:rPr>
          <w:rFonts w:cstheme="minorHAnsi"/>
          <w:lang w:val="en-US"/>
        </w:rPr>
      </w:pPr>
      <w:r w:rsidRPr="00F71906">
        <w:rPr>
          <w:rFonts w:cstheme="minorHAnsi"/>
          <w:lang w:val="en-US"/>
        </w:rPr>
        <w:t>The advice following the pandemic was for responsible authorities to remain readily prepared. Therefore, as part of a covid recovery plan the authority agreed to the appointment of a dedicated a fixed team Public Health Practitioner position. The practitioner both supports the team’s existing functions and works collaboratively with stakeholders specifically Lancashire County Council on the delivery of proactive Public Health projects and campaigns related to identified risks and concerns</w:t>
      </w:r>
      <w:r w:rsidR="00F71906">
        <w:rPr>
          <w:rFonts w:cstheme="minorHAnsi"/>
          <w:lang w:val="en-US"/>
        </w:rPr>
        <w:t>.</w:t>
      </w:r>
    </w:p>
    <w:p w14:paraId="268034F4" w14:textId="77777777" w:rsidR="00470831" w:rsidRDefault="00470831" w:rsidP="003232E3">
      <w:pPr>
        <w:tabs>
          <w:tab w:val="left" w:pos="567"/>
        </w:tabs>
        <w:spacing w:after="0" w:line="240" w:lineRule="auto"/>
        <w:ind w:right="-284"/>
        <w:rPr>
          <w:rFonts w:eastAsia="Times New Roman" w:cstheme="minorHAnsi"/>
          <w:b/>
          <w:bCs/>
          <w:lang w:eastAsia="en-GB"/>
        </w:rPr>
      </w:pPr>
    </w:p>
    <w:p w14:paraId="036DF253" w14:textId="77777777" w:rsidR="00153954" w:rsidRDefault="00153954" w:rsidP="003232E3">
      <w:pPr>
        <w:tabs>
          <w:tab w:val="left" w:pos="567"/>
        </w:tabs>
        <w:spacing w:after="0" w:line="240" w:lineRule="auto"/>
        <w:ind w:right="-284"/>
        <w:rPr>
          <w:rFonts w:eastAsia="Times New Roman" w:cstheme="minorHAnsi"/>
          <w:b/>
          <w:bCs/>
          <w:lang w:eastAsia="en-GB"/>
        </w:rPr>
      </w:pPr>
    </w:p>
    <w:p w14:paraId="19087014" w14:textId="77777777" w:rsidR="00153954" w:rsidRDefault="00153954" w:rsidP="003232E3">
      <w:pPr>
        <w:tabs>
          <w:tab w:val="left" w:pos="567"/>
        </w:tabs>
        <w:spacing w:after="0" w:line="240" w:lineRule="auto"/>
        <w:ind w:right="-284"/>
        <w:rPr>
          <w:rFonts w:eastAsia="Times New Roman" w:cstheme="minorHAnsi"/>
          <w:b/>
          <w:bCs/>
          <w:lang w:eastAsia="en-GB"/>
        </w:rPr>
      </w:pPr>
    </w:p>
    <w:p w14:paraId="3700600A" w14:textId="77777777" w:rsidR="00153954" w:rsidRDefault="00153954" w:rsidP="003232E3">
      <w:pPr>
        <w:tabs>
          <w:tab w:val="left" w:pos="567"/>
        </w:tabs>
        <w:spacing w:after="0" w:line="240" w:lineRule="auto"/>
        <w:ind w:right="-284"/>
        <w:rPr>
          <w:rFonts w:eastAsia="Times New Roman" w:cstheme="minorHAnsi"/>
          <w:b/>
          <w:bCs/>
          <w:lang w:eastAsia="en-GB"/>
        </w:rPr>
      </w:pPr>
    </w:p>
    <w:p w14:paraId="276EA05B" w14:textId="77777777" w:rsidR="00153954" w:rsidRDefault="00153954" w:rsidP="003232E3">
      <w:pPr>
        <w:tabs>
          <w:tab w:val="left" w:pos="567"/>
        </w:tabs>
        <w:spacing w:after="0" w:line="240" w:lineRule="auto"/>
        <w:ind w:right="-284"/>
        <w:rPr>
          <w:rFonts w:eastAsia="Times New Roman" w:cstheme="minorHAnsi"/>
          <w:b/>
          <w:bCs/>
          <w:lang w:eastAsia="en-GB"/>
        </w:rPr>
      </w:pPr>
    </w:p>
    <w:p w14:paraId="5F18EFF0" w14:textId="77777777" w:rsidR="00153954" w:rsidRDefault="00153954" w:rsidP="003232E3">
      <w:pPr>
        <w:tabs>
          <w:tab w:val="left" w:pos="567"/>
        </w:tabs>
        <w:spacing w:after="0" w:line="240" w:lineRule="auto"/>
        <w:ind w:right="-284"/>
        <w:rPr>
          <w:rFonts w:eastAsia="Times New Roman" w:cstheme="minorHAnsi"/>
          <w:b/>
          <w:bCs/>
          <w:lang w:eastAsia="en-GB"/>
        </w:rPr>
      </w:pPr>
    </w:p>
    <w:p w14:paraId="2331C00A" w14:textId="77777777" w:rsidR="00153954" w:rsidRDefault="00153954" w:rsidP="003232E3">
      <w:pPr>
        <w:tabs>
          <w:tab w:val="left" w:pos="567"/>
        </w:tabs>
        <w:spacing w:after="0" w:line="240" w:lineRule="auto"/>
        <w:ind w:right="-284"/>
        <w:rPr>
          <w:rFonts w:eastAsia="Times New Roman" w:cstheme="minorHAnsi"/>
          <w:b/>
          <w:bCs/>
          <w:lang w:eastAsia="en-GB"/>
        </w:rPr>
      </w:pPr>
    </w:p>
    <w:p w14:paraId="29617669" w14:textId="77777777" w:rsidR="00153954" w:rsidRDefault="00153954" w:rsidP="003232E3">
      <w:pPr>
        <w:tabs>
          <w:tab w:val="left" w:pos="567"/>
        </w:tabs>
        <w:spacing w:after="0" w:line="240" w:lineRule="auto"/>
        <w:ind w:right="-284"/>
        <w:rPr>
          <w:rFonts w:eastAsia="Times New Roman" w:cstheme="minorHAnsi"/>
          <w:b/>
          <w:bCs/>
          <w:lang w:eastAsia="en-GB"/>
        </w:rPr>
      </w:pPr>
    </w:p>
    <w:p w14:paraId="5AF649C9" w14:textId="57DE1F92" w:rsidR="003232E3" w:rsidRDefault="004D2EA6" w:rsidP="003232E3">
      <w:pPr>
        <w:tabs>
          <w:tab w:val="left" w:pos="567"/>
        </w:tabs>
        <w:spacing w:after="0" w:line="240" w:lineRule="auto"/>
        <w:ind w:right="-284"/>
        <w:rPr>
          <w:rFonts w:eastAsia="Times New Roman" w:cstheme="minorHAnsi"/>
          <w:b/>
          <w:bCs/>
          <w:lang w:eastAsia="en-GB"/>
        </w:rPr>
      </w:pPr>
      <w:r w:rsidRPr="003232E3">
        <w:rPr>
          <w:rFonts w:eastAsia="Times New Roman" w:cstheme="minorHAnsi"/>
          <w:b/>
          <w:bCs/>
          <w:lang w:eastAsia="en-GB"/>
        </w:rPr>
        <w:lastRenderedPageBreak/>
        <w:t>2023/24 Budget</w:t>
      </w:r>
    </w:p>
    <w:p w14:paraId="5A00482F" w14:textId="77777777" w:rsidR="003232E3" w:rsidRPr="003232E3" w:rsidRDefault="003232E3" w:rsidP="003232E3">
      <w:pPr>
        <w:tabs>
          <w:tab w:val="left" w:pos="567"/>
        </w:tabs>
        <w:spacing w:after="0" w:line="240" w:lineRule="auto"/>
        <w:ind w:right="-284"/>
        <w:rPr>
          <w:rFonts w:eastAsia="Times New Roman" w:cstheme="minorHAnsi"/>
          <w:b/>
          <w:bCs/>
          <w:lang w:eastAsia="en-GB"/>
        </w:rPr>
      </w:pPr>
    </w:p>
    <w:p w14:paraId="6BBD8C27" w14:textId="1A017375" w:rsidR="003232E3" w:rsidRDefault="004D2EA6"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The budget for the portfolio for 2023/24 is £</w:t>
      </w:r>
      <w:r w:rsidR="00A11146">
        <w:rPr>
          <w:rFonts w:eastAsia="Times New Roman" w:cstheme="minorHAnsi"/>
          <w:lang w:eastAsia="en-GB"/>
        </w:rPr>
        <w:t>1.665mill</w:t>
      </w:r>
      <w:r>
        <w:rPr>
          <w:rFonts w:eastAsia="Times New Roman" w:cstheme="minorHAnsi"/>
          <w:lang w:eastAsia="en-GB"/>
        </w:rPr>
        <w:t xml:space="preserve"> and can be broken down as </w:t>
      </w:r>
      <w:r w:rsidR="00B90333">
        <w:rPr>
          <w:rFonts w:eastAsia="Times New Roman" w:cstheme="minorHAnsi"/>
          <w:lang w:eastAsia="en-GB"/>
        </w:rPr>
        <w:t>follows.</w:t>
      </w:r>
    </w:p>
    <w:p w14:paraId="6CD4E9DF" w14:textId="77777777" w:rsidR="003232E3" w:rsidRPr="002F4B61" w:rsidRDefault="003232E3" w:rsidP="003232E3">
      <w:pPr>
        <w:pStyle w:val="ListParagraph"/>
        <w:tabs>
          <w:tab w:val="left" w:pos="567"/>
        </w:tabs>
        <w:spacing w:after="0" w:line="240" w:lineRule="auto"/>
        <w:ind w:left="567" w:right="-284"/>
        <w:rPr>
          <w:rFonts w:eastAsia="Times New Roman" w:cstheme="minorHAnsi"/>
          <w:lang w:eastAsia="en-GB"/>
        </w:rPr>
      </w:pPr>
    </w:p>
    <w:tbl>
      <w:tblPr>
        <w:tblStyle w:val="TableGrid"/>
        <w:tblW w:w="0" w:type="auto"/>
        <w:tblLook w:val="04A0" w:firstRow="1" w:lastRow="0" w:firstColumn="1" w:lastColumn="0" w:noHBand="0" w:noVBand="1"/>
      </w:tblPr>
      <w:tblGrid>
        <w:gridCol w:w="3681"/>
        <w:gridCol w:w="1701"/>
        <w:gridCol w:w="1697"/>
        <w:gridCol w:w="1563"/>
      </w:tblGrid>
      <w:tr w:rsidR="005C0259" w14:paraId="1DF4FA04" w14:textId="280B5316" w:rsidTr="00A11146">
        <w:tc>
          <w:tcPr>
            <w:tcW w:w="3681" w:type="dxa"/>
          </w:tcPr>
          <w:p w14:paraId="0733F84B" w14:textId="77777777" w:rsidR="003232E3" w:rsidRPr="003232E3" w:rsidRDefault="003232E3" w:rsidP="002F4B61">
            <w:pPr>
              <w:rPr>
                <w:b/>
                <w:bCs/>
              </w:rPr>
            </w:pPr>
          </w:p>
        </w:tc>
        <w:tc>
          <w:tcPr>
            <w:tcW w:w="1701" w:type="dxa"/>
          </w:tcPr>
          <w:p w14:paraId="7EBA726E" w14:textId="77777777" w:rsidR="003232E3" w:rsidRPr="003232E3" w:rsidRDefault="004D2EA6" w:rsidP="002F4B61">
            <w:pPr>
              <w:rPr>
                <w:b/>
                <w:bCs/>
              </w:rPr>
            </w:pPr>
            <w:r w:rsidRPr="003232E3">
              <w:rPr>
                <w:b/>
                <w:bCs/>
              </w:rPr>
              <w:t>2023/24 Budget</w:t>
            </w:r>
          </w:p>
          <w:p w14:paraId="067470FA" w14:textId="77777777" w:rsidR="003232E3" w:rsidRPr="003232E3" w:rsidRDefault="003232E3" w:rsidP="002F4B61">
            <w:pPr>
              <w:rPr>
                <w:b/>
                <w:bCs/>
              </w:rPr>
            </w:pPr>
          </w:p>
          <w:p w14:paraId="6FC906D9" w14:textId="4B7F0BA9" w:rsidR="003232E3" w:rsidRPr="003232E3" w:rsidRDefault="004D2EA6" w:rsidP="002F4B61">
            <w:pPr>
              <w:rPr>
                <w:b/>
                <w:bCs/>
              </w:rPr>
            </w:pPr>
            <w:r w:rsidRPr="003232E3">
              <w:rPr>
                <w:b/>
                <w:bCs/>
              </w:rPr>
              <w:t>£’000</w:t>
            </w:r>
          </w:p>
        </w:tc>
        <w:tc>
          <w:tcPr>
            <w:tcW w:w="1697" w:type="dxa"/>
          </w:tcPr>
          <w:p w14:paraId="6CCE114B" w14:textId="77777777" w:rsidR="00A11146" w:rsidRDefault="004D2EA6" w:rsidP="002F4B61">
            <w:pPr>
              <w:rPr>
                <w:b/>
                <w:bCs/>
              </w:rPr>
            </w:pPr>
            <w:r w:rsidRPr="003232E3">
              <w:rPr>
                <w:b/>
                <w:bCs/>
              </w:rPr>
              <w:t xml:space="preserve">Forecast </w:t>
            </w:r>
            <w:r w:rsidR="00A11146">
              <w:rPr>
                <w:b/>
                <w:bCs/>
              </w:rPr>
              <w:t>O</w:t>
            </w:r>
            <w:r w:rsidRPr="003232E3">
              <w:rPr>
                <w:b/>
                <w:bCs/>
              </w:rPr>
              <w:t xml:space="preserve">utturn </w:t>
            </w:r>
          </w:p>
          <w:p w14:paraId="6C5AEA9E" w14:textId="1E959DA9" w:rsidR="003232E3" w:rsidRPr="003232E3" w:rsidRDefault="004D2EA6" w:rsidP="002F4B61">
            <w:pPr>
              <w:rPr>
                <w:b/>
                <w:bCs/>
              </w:rPr>
            </w:pPr>
            <w:r w:rsidRPr="003232E3">
              <w:rPr>
                <w:b/>
                <w:bCs/>
              </w:rPr>
              <w:t xml:space="preserve">Qtr 3 </w:t>
            </w:r>
            <w:r w:rsidR="00A11146">
              <w:rPr>
                <w:b/>
                <w:bCs/>
              </w:rPr>
              <w:t>23/24</w:t>
            </w:r>
          </w:p>
          <w:p w14:paraId="0E18961E" w14:textId="34D75115" w:rsidR="003232E3" w:rsidRPr="003232E3" w:rsidRDefault="004D2EA6" w:rsidP="002F4B61">
            <w:pPr>
              <w:rPr>
                <w:b/>
                <w:bCs/>
              </w:rPr>
            </w:pPr>
            <w:r w:rsidRPr="003232E3">
              <w:rPr>
                <w:b/>
                <w:bCs/>
              </w:rPr>
              <w:t>£’000</w:t>
            </w:r>
          </w:p>
        </w:tc>
        <w:tc>
          <w:tcPr>
            <w:tcW w:w="1563" w:type="dxa"/>
          </w:tcPr>
          <w:p w14:paraId="33702016" w14:textId="77777777" w:rsidR="003232E3" w:rsidRPr="003232E3" w:rsidRDefault="004D2EA6" w:rsidP="002F4B61">
            <w:pPr>
              <w:rPr>
                <w:b/>
                <w:bCs/>
              </w:rPr>
            </w:pPr>
            <w:r w:rsidRPr="003232E3">
              <w:rPr>
                <w:b/>
                <w:bCs/>
              </w:rPr>
              <w:t>Over/(Under) spend</w:t>
            </w:r>
          </w:p>
          <w:p w14:paraId="46F181F6" w14:textId="77777777" w:rsidR="00A11146" w:rsidRDefault="00A11146" w:rsidP="002F4B61">
            <w:pPr>
              <w:rPr>
                <w:b/>
                <w:bCs/>
              </w:rPr>
            </w:pPr>
          </w:p>
          <w:p w14:paraId="6043A3EF" w14:textId="387A4D3A" w:rsidR="003232E3" w:rsidRPr="003232E3" w:rsidRDefault="004D2EA6" w:rsidP="002F4B61">
            <w:pPr>
              <w:rPr>
                <w:b/>
                <w:bCs/>
              </w:rPr>
            </w:pPr>
            <w:r w:rsidRPr="003232E3">
              <w:rPr>
                <w:b/>
                <w:bCs/>
              </w:rPr>
              <w:t>£’000</w:t>
            </w:r>
          </w:p>
        </w:tc>
      </w:tr>
      <w:tr w:rsidR="005C0259" w14:paraId="6428A7FB" w14:textId="0B60AAD8" w:rsidTr="00A11146">
        <w:tc>
          <w:tcPr>
            <w:tcW w:w="3681" w:type="dxa"/>
          </w:tcPr>
          <w:p w14:paraId="5A283E66" w14:textId="45C5AFD3" w:rsidR="003232E3" w:rsidRDefault="004D2EA6" w:rsidP="002F4B61">
            <w:r>
              <w:t>Finance</w:t>
            </w:r>
          </w:p>
        </w:tc>
        <w:tc>
          <w:tcPr>
            <w:tcW w:w="1701" w:type="dxa"/>
          </w:tcPr>
          <w:p w14:paraId="54EEABD1" w14:textId="30C50508" w:rsidR="003232E3" w:rsidRDefault="00A11146" w:rsidP="002F4B61">
            <w:r>
              <w:t>725</w:t>
            </w:r>
          </w:p>
        </w:tc>
        <w:tc>
          <w:tcPr>
            <w:tcW w:w="1697" w:type="dxa"/>
          </w:tcPr>
          <w:p w14:paraId="634245D1" w14:textId="52336FE4" w:rsidR="003232E3" w:rsidRDefault="00A11146" w:rsidP="002F4B61">
            <w:r>
              <w:t>715</w:t>
            </w:r>
          </w:p>
        </w:tc>
        <w:tc>
          <w:tcPr>
            <w:tcW w:w="1563" w:type="dxa"/>
          </w:tcPr>
          <w:p w14:paraId="007D5B6A" w14:textId="5176683A" w:rsidR="003232E3" w:rsidRDefault="00A11146" w:rsidP="002F4B61">
            <w:r>
              <w:t>(10)</w:t>
            </w:r>
          </w:p>
        </w:tc>
      </w:tr>
      <w:tr w:rsidR="005C0259" w14:paraId="58042595" w14:textId="4F7A85B2" w:rsidTr="00A11146">
        <w:tc>
          <w:tcPr>
            <w:tcW w:w="3681" w:type="dxa"/>
          </w:tcPr>
          <w:p w14:paraId="06C1240D" w14:textId="0EE8C5C2" w:rsidR="003232E3" w:rsidRDefault="004D2EA6" w:rsidP="002F4B61">
            <w:r>
              <w:t>Public Protection</w:t>
            </w:r>
          </w:p>
        </w:tc>
        <w:tc>
          <w:tcPr>
            <w:tcW w:w="1701" w:type="dxa"/>
          </w:tcPr>
          <w:p w14:paraId="3A90B9D3" w14:textId="344FF8DC" w:rsidR="003232E3" w:rsidRDefault="00153954" w:rsidP="002F4B61">
            <w:r>
              <w:t>940</w:t>
            </w:r>
          </w:p>
        </w:tc>
        <w:tc>
          <w:tcPr>
            <w:tcW w:w="1697" w:type="dxa"/>
          </w:tcPr>
          <w:p w14:paraId="5D35A8D8" w14:textId="2DD67CA1" w:rsidR="003232E3" w:rsidRDefault="00153954" w:rsidP="002F4B61">
            <w:r>
              <w:t>932</w:t>
            </w:r>
          </w:p>
        </w:tc>
        <w:tc>
          <w:tcPr>
            <w:tcW w:w="1563" w:type="dxa"/>
          </w:tcPr>
          <w:p w14:paraId="6E9B5476" w14:textId="449E4180" w:rsidR="003232E3" w:rsidRDefault="00A11146" w:rsidP="002F4B61">
            <w:r>
              <w:t>(8)</w:t>
            </w:r>
          </w:p>
        </w:tc>
      </w:tr>
      <w:tr w:rsidR="005C0259" w14:paraId="1509FA98" w14:textId="6F3DDC08" w:rsidTr="00A11146">
        <w:tc>
          <w:tcPr>
            <w:tcW w:w="3681" w:type="dxa"/>
          </w:tcPr>
          <w:p w14:paraId="1BD42AF2" w14:textId="4DB04A58" w:rsidR="003232E3" w:rsidRPr="003232E3" w:rsidRDefault="004D2EA6" w:rsidP="002F4B61">
            <w:pPr>
              <w:rPr>
                <w:b/>
                <w:bCs/>
              </w:rPr>
            </w:pPr>
            <w:r w:rsidRPr="003232E3">
              <w:rPr>
                <w:b/>
                <w:bCs/>
              </w:rPr>
              <w:t>Total</w:t>
            </w:r>
          </w:p>
        </w:tc>
        <w:tc>
          <w:tcPr>
            <w:tcW w:w="1701" w:type="dxa"/>
          </w:tcPr>
          <w:p w14:paraId="3580453B" w14:textId="4CA520A8" w:rsidR="003232E3" w:rsidRPr="003232E3" w:rsidRDefault="00A11146" w:rsidP="002F4B61">
            <w:pPr>
              <w:rPr>
                <w:b/>
                <w:bCs/>
              </w:rPr>
            </w:pPr>
            <w:r>
              <w:rPr>
                <w:b/>
                <w:bCs/>
              </w:rPr>
              <w:t>1,665</w:t>
            </w:r>
          </w:p>
        </w:tc>
        <w:tc>
          <w:tcPr>
            <w:tcW w:w="1697" w:type="dxa"/>
          </w:tcPr>
          <w:p w14:paraId="14ECAE92" w14:textId="33C43BBA" w:rsidR="003232E3" w:rsidRPr="003232E3" w:rsidRDefault="00A11146" w:rsidP="002F4B61">
            <w:pPr>
              <w:rPr>
                <w:b/>
                <w:bCs/>
              </w:rPr>
            </w:pPr>
            <w:r>
              <w:rPr>
                <w:b/>
                <w:bCs/>
              </w:rPr>
              <w:t>1,647</w:t>
            </w:r>
          </w:p>
        </w:tc>
        <w:tc>
          <w:tcPr>
            <w:tcW w:w="1563" w:type="dxa"/>
          </w:tcPr>
          <w:p w14:paraId="56F1CB1D" w14:textId="5134EA22" w:rsidR="003232E3" w:rsidRPr="003232E3" w:rsidRDefault="00A11146" w:rsidP="002F4B61">
            <w:pPr>
              <w:rPr>
                <w:b/>
                <w:bCs/>
              </w:rPr>
            </w:pPr>
            <w:r>
              <w:rPr>
                <w:b/>
                <w:bCs/>
              </w:rPr>
              <w:t>(18)</w:t>
            </w:r>
          </w:p>
        </w:tc>
      </w:tr>
    </w:tbl>
    <w:p w14:paraId="347CDA26" w14:textId="32BC3982" w:rsidR="00CD4005" w:rsidRPr="002F1805" w:rsidRDefault="00CD4005" w:rsidP="002F4B61">
      <w:pPr>
        <w:spacing w:after="0"/>
      </w:pPr>
    </w:p>
    <w:p w14:paraId="7B0BC669" w14:textId="77777777" w:rsidR="008B2D37" w:rsidRDefault="004D2EA6" w:rsidP="002F4B61">
      <w:pPr>
        <w:pStyle w:val="Heading2"/>
      </w:pPr>
      <w:bookmarkStart w:id="0" w:name="_Hlk107392085"/>
      <w:r w:rsidRPr="00F71906">
        <w:t>Climate change and air quality</w:t>
      </w:r>
    </w:p>
    <w:p w14:paraId="5301529D" w14:textId="77777777" w:rsidR="00F71906" w:rsidRPr="00F71906" w:rsidRDefault="00F71906" w:rsidP="002F4B61">
      <w:pPr>
        <w:pStyle w:val="Heading2"/>
      </w:pPr>
    </w:p>
    <w:p w14:paraId="50D68815" w14:textId="77777777" w:rsidR="00613634" w:rsidRPr="00F71906" w:rsidRDefault="00613634" w:rsidP="002F4B61">
      <w:pPr>
        <w:spacing w:after="0" w:line="240" w:lineRule="auto"/>
        <w:rPr>
          <w:rFonts w:ascii="Arial" w:hAnsi="Arial" w:cs="Arial"/>
          <w:lang w:eastAsia="en-GB"/>
        </w:rPr>
      </w:pPr>
    </w:p>
    <w:p w14:paraId="3252CA32" w14:textId="27D72078" w:rsidR="002F4B61" w:rsidRPr="00F71906" w:rsidRDefault="004D2EA6" w:rsidP="002F4B61">
      <w:pPr>
        <w:pStyle w:val="ListParagraph"/>
        <w:numPr>
          <w:ilvl w:val="0"/>
          <w:numId w:val="11"/>
        </w:numPr>
        <w:spacing w:after="0" w:line="240" w:lineRule="auto"/>
        <w:ind w:left="567" w:hanging="567"/>
        <w:rPr>
          <w:rFonts w:ascii="Arial" w:hAnsi="Arial" w:cs="Arial"/>
          <w:lang w:eastAsia="en-GB"/>
        </w:rPr>
      </w:pPr>
      <w:r w:rsidRPr="00F71906">
        <w:t xml:space="preserve">The work noted in this report does not impact the climate change and sustainability </w:t>
      </w:r>
      <w:r w:rsidR="007948D6" w:rsidRPr="00F71906">
        <w:t>targets of the Councils Green Agenda and all environmental considerations are in place.</w:t>
      </w:r>
      <w:r w:rsidR="008B2D37" w:rsidRPr="00F71906">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4D2EA6" w:rsidP="00163649">
      <w:pPr>
        <w:pStyle w:val="Heading2"/>
      </w:pPr>
      <w:bookmarkStart w:id="1" w:name="_Hlk107392059"/>
      <w:bookmarkEnd w:id="0"/>
      <w:r w:rsidRPr="008C37E1">
        <w:t>Equality and diversity</w:t>
      </w:r>
    </w:p>
    <w:p w14:paraId="4FA5EF12" w14:textId="77777777" w:rsidR="008B2D37" w:rsidRPr="00ED4FF1" w:rsidRDefault="008B2D37" w:rsidP="00163649">
      <w:pPr>
        <w:spacing w:after="0"/>
      </w:pPr>
    </w:p>
    <w:p w14:paraId="5EAA5E81" w14:textId="41C284B5" w:rsidR="00845312" w:rsidRDefault="004D2EA6" w:rsidP="00845312">
      <w:pPr>
        <w:pStyle w:val="ListParagraph"/>
        <w:numPr>
          <w:ilvl w:val="0"/>
          <w:numId w:val="11"/>
        </w:numPr>
        <w:spacing w:after="0" w:line="256" w:lineRule="auto"/>
        <w:ind w:left="567" w:hanging="567"/>
        <w:rPr>
          <w:rFonts w:cstheme="minorHAnsi"/>
          <w:iCs/>
        </w:rPr>
      </w:pPr>
      <w:r>
        <w:rPr>
          <w:rFonts w:cstheme="minorHAnsi"/>
          <w:iCs/>
        </w:rPr>
        <w:t>Consideration of</w:t>
      </w:r>
      <w:r>
        <w:t xml:space="preserve"> equality and diversity implications are given when the corporate strategy and business plans are produced</w:t>
      </w:r>
      <w:r w:rsidR="001576AD">
        <w:rPr>
          <w:rFonts w:cstheme="minorHAnsi"/>
          <w:iCs/>
        </w:rPr>
        <w:t xml:space="preserve">.  </w:t>
      </w:r>
    </w:p>
    <w:p w14:paraId="48F855FA" w14:textId="77777777" w:rsidR="00845312" w:rsidRDefault="00845312" w:rsidP="00845312">
      <w:pPr>
        <w:spacing w:after="0"/>
        <w:ind w:left="567" w:hanging="567"/>
        <w:rPr>
          <w:rFonts w:cstheme="minorHAnsi"/>
          <w:iCs/>
        </w:rPr>
      </w:pPr>
    </w:p>
    <w:p w14:paraId="52FD231E" w14:textId="77777777" w:rsidR="008B2D37" w:rsidRPr="008C37E1" w:rsidRDefault="004D2EA6" w:rsidP="001D3B9C">
      <w:pPr>
        <w:pStyle w:val="Heading2"/>
      </w:pPr>
      <w:r w:rsidRPr="008C37E1">
        <w:t>Risk</w:t>
      </w:r>
    </w:p>
    <w:bookmarkEnd w:id="1"/>
    <w:p w14:paraId="54390698" w14:textId="77777777" w:rsidR="008B2D37" w:rsidRDefault="008B2D37" w:rsidP="008B2D37">
      <w:pPr>
        <w:spacing w:after="0"/>
      </w:pPr>
    </w:p>
    <w:p w14:paraId="2ABEE71D" w14:textId="1188B2D9" w:rsidR="008B2D37" w:rsidRPr="001D3B9C" w:rsidRDefault="004D2EA6" w:rsidP="001D3B9C">
      <w:pPr>
        <w:pStyle w:val="ListParagraph"/>
        <w:numPr>
          <w:ilvl w:val="0"/>
          <w:numId w:val="11"/>
        </w:numPr>
        <w:spacing w:after="0"/>
        <w:ind w:left="567" w:hanging="567"/>
        <w:rPr>
          <w:b/>
          <w:bCs/>
        </w:rPr>
      </w:pPr>
      <w:r>
        <w:t>The services maintain service risk registers to manage any potential risks to the delivery of key projects and services.</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4D2EA6"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213CA864" w:rsidR="00D1305C" w:rsidRPr="00883AC9" w:rsidRDefault="004D2EA6" w:rsidP="00E10BF8">
      <w:pPr>
        <w:numPr>
          <w:ilvl w:val="0"/>
          <w:numId w:val="11"/>
        </w:numPr>
        <w:spacing w:after="0" w:line="240" w:lineRule="auto"/>
        <w:ind w:left="567" w:hanging="567"/>
        <w:jc w:val="both"/>
        <w:rPr>
          <w:rFonts w:cstheme="minorHAnsi"/>
          <w:bCs/>
          <w:iCs/>
        </w:rPr>
      </w:pPr>
      <w:r w:rsidRPr="00883AC9">
        <w:rPr>
          <w:rFonts w:cstheme="minorHAnsi"/>
          <w:bCs/>
          <w:iCs/>
        </w:rPr>
        <w:t>Th</w:t>
      </w:r>
      <w:r w:rsidR="00A1467F">
        <w:rPr>
          <w:rFonts w:cstheme="minorHAnsi"/>
          <w:bCs/>
          <w:iCs/>
        </w:rPr>
        <w:t xml:space="preserve">ere </w:t>
      </w:r>
      <w:r w:rsidR="009F5BEE">
        <w:rPr>
          <w:rFonts w:cstheme="minorHAnsi"/>
          <w:bCs/>
          <w:iCs/>
        </w:rPr>
        <w:t xml:space="preserve">report is for noting and as such there </w:t>
      </w:r>
      <w:r w:rsidR="00A1467F">
        <w:rPr>
          <w:rFonts w:cstheme="minorHAnsi"/>
          <w:bCs/>
          <w:iCs/>
        </w:rPr>
        <w:t>are no financial implications arising</w:t>
      </w:r>
      <w:r w:rsidR="009F5BEE">
        <w:rPr>
          <w:rFonts w:cstheme="minorHAnsi"/>
          <w:bCs/>
          <w:iCs/>
        </w:rPr>
        <w:t>.</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4D2EA6"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677601C9" w:rsidR="00D1305C" w:rsidRPr="00B90333" w:rsidRDefault="00B90333" w:rsidP="00E10BF8">
      <w:pPr>
        <w:numPr>
          <w:ilvl w:val="0"/>
          <w:numId w:val="11"/>
        </w:numPr>
        <w:spacing w:after="0" w:line="240" w:lineRule="auto"/>
        <w:ind w:left="567" w:hanging="567"/>
        <w:jc w:val="both"/>
        <w:rPr>
          <w:rFonts w:cstheme="minorHAnsi"/>
          <w:bCs/>
          <w:iCs/>
        </w:rPr>
      </w:pPr>
      <w:r w:rsidRPr="00B90333">
        <w:rPr>
          <w:rFonts w:cstheme="minorHAnsi"/>
          <w:bCs/>
          <w:iCs/>
        </w:rPr>
        <w:t>The report is for information and noting – there are no direct legal implications arising.</w:t>
      </w:r>
      <w:r w:rsidR="004D2EA6" w:rsidRPr="00B90333">
        <w:rPr>
          <w:rFonts w:cstheme="minorHAnsi"/>
          <w:bCs/>
          <w:iCs/>
        </w:rPr>
        <w:t xml:space="preserve"> </w:t>
      </w:r>
    </w:p>
    <w:p w14:paraId="6DCF9827" w14:textId="77777777" w:rsidR="00D1305C" w:rsidRPr="002F1805" w:rsidRDefault="00D1305C" w:rsidP="006D56BC">
      <w:pPr>
        <w:spacing w:after="0"/>
      </w:pPr>
    </w:p>
    <w:p w14:paraId="23A7AC7B" w14:textId="77777777" w:rsidR="006D56BC" w:rsidRDefault="004D2EA6"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4D2EA6"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6E67DCA6" w14:textId="77777777" w:rsidR="002F1805" w:rsidRPr="002F1805" w:rsidRDefault="002F1805" w:rsidP="006D56BC">
      <w:pPr>
        <w:spacing w:after="0"/>
      </w:pPr>
    </w:p>
    <w:p w14:paraId="7D2AB4E4" w14:textId="77777777" w:rsidR="00D1305C" w:rsidRPr="002F1805" w:rsidRDefault="00D1305C" w:rsidP="006D56BC">
      <w:pPr>
        <w:spacing w:after="20" w:line="240" w:lineRule="auto"/>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3815"/>
        <w:gridCol w:w="1445"/>
        <w:gridCol w:w="1638"/>
      </w:tblGrid>
      <w:tr w:rsidR="005C0259" w14:paraId="342F19D2" w14:textId="77777777" w:rsidTr="00A1467F">
        <w:tc>
          <w:tcPr>
            <w:tcW w:w="2741" w:type="dxa"/>
            <w:shd w:val="clear" w:color="auto" w:fill="auto"/>
          </w:tcPr>
          <w:p w14:paraId="6A6A83F0" w14:textId="77777777" w:rsidR="00D1305C" w:rsidRPr="00D1305C" w:rsidRDefault="004D2EA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3815" w:type="dxa"/>
          </w:tcPr>
          <w:p w14:paraId="13548ACC" w14:textId="77777777" w:rsidR="00D1305C" w:rsidRPr="00D1305C" w:rsidRDefault="004D2EA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445" w:type="dxa"/>
            <w:shd w:val="clear" w:color="auto" w:fill="auto"/>
          </w:tcPr>
          <w:p w14:paraId="2D5D6A36" w14:textId="77777777" w:rsidR="00D1305C" w:rsidRPr="00D1305C" w:rsidRDefault="004D2EA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638" w:type="dxa"/>
            <w:shd w:val="clear" w:color="auto" w:fill="auto"/>
          </w:tcPr>
          <w:p w14:paraId="73C052A3" w14:textId="77777777" w:rsidR="00D1305C" w:rsidRPr="00D1305C" w:rsidRDefault="004D2EA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5C0259" w14:paraId="79B87AE3" w14:textId="77777777" w:rsidTr="00A1467F">
        <w:tc>
          <w:tcPr>
            <w:tcW w:w="2741" w:type="dxa"/>
            <w:shd w:val="clear" w:color="auto" w:fill="auto"/>
          </w:tcPr>
          <w:p w14:paraId="27705D41" w14:textId="77777777" w:rsidR="00F71906" w:rsidRDefault="004D2EA6"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Louise Mattinson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Director of Finance and Section 151 Officer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p w14:paraId="0DFE68A1" w14:textId="2335DE66" w:rsidR="009F5BEE" w:rsidRPr="00D1305C" w:rsidRDefault="00F71906"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Laura-Jean Taylor (Head of Public Protection)</w:t>
            </w:r>
          </w:p>
        </w:tc>
        <w:tc>
          <w:tcPr>
            <w:tcW w:w="3815" w:type="dxa"/>
          </w:tcPr>
          <w:p w14:paraId="6CEE8C59" w14:textId="77777777" w:rsidR="00D1305C" w:rsidRDefault="004D2EA6"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louise.mattinson@southribble.gov.uk</w:t>
            </w:r>
            <w:r>
              <w:rPr>
                <w:rFonts w:eastAsia="Times New Roman" w:cstheme="minorHAnsi"/>
                <w:bCs/>
                <w:color w:val="000000" w:themeColor="text1"/>
                <w:kern w:val="36"/>
                <w:lang w:eastAsia="en-GB"/>
              </w:rPr>
              <w:fldChar w:fldCharType="end"/>
            </w:r>
          </w:p>
          <w:p w14:paraId="748EC9FB" w14:textId="77777777" w:rsidR="009F5BEE" w:rsidRDefault="009F5BEE" w:rsidP="00EF0D35">
            <w:pPr>
              <w:jc w:val="both"/>
              <w:rPr>
                <w:rFonts w:eastAsia="Times New Roman" w:cstheme="minorHAnsi"/>
                <w:bCs/>
                <w:color w:val="000000" w:themeColor="text1"/>
                <w:kern w:val="36"/>
                <w:lang w:eastAsia="en-GB"/>
              </w:rPr>
            </w:pPr>
          </w:p>
          <w:p w14:paraId="7400AC12" w14:textId="01FEB36C" w:rsidR="009F5BEE" w:rsidRPr="00D1305C" w:rsidRDefault="00845A36" w:rsidP="00EF0D35">
            <w:pPr>
              <w:jc w:val="both"/>
              <w:rPr>
                <w:rFonts w:eastAsia="Times New Roman" w:cstheme="minorHAnsi"/>
                <w:bCs/>
                <w:color w:val="000000" w:themeColor="text1"/>
                <w:kern w:val="36"/>
                <w:lang w:eastAsia="en-GB"/>
              </w:rPr>
            </w:pPr>
            <w:hyperlink r:id="rId6" w:history="1">
              <w:r w:rsidR="00F71906" w:rsidRPr="00246D9F">
                <w:rPr>
                  <w:rStyle w:val="Hyperlink"/>
                  <w:rFonts w:eastAsia="Times New Roman" w:cstheme="minorHAnsi"/>
                  <w:bCs/>
                  <w:kern w:val="36"/>
                  <w:lang w:eastAsia="en-GB"/>
                </w:rPr>
                <w:t>Laura-Jean.Taylor@southribble.gov.uk</w:t>
              </w:r>
            </w:hyperlink>
          </w:p>
        </w:tc>
        <w:tc>
          <w:tcPr>
            <w:tcW w:w="1445" w:type="dxa"/>
            <w:tcBorders>
              <w:bottom w:val="single" w:sz="4" w:space="0" w:color="auto"/>
            </w:tcBorders>
            <w:shd w:val="clear" w:color="auto" w:fill="auto"/>
          </w:tcPr>
          <w:p w14:paraId="58D62899" w14:textId="3154E236" w:rsidR="00D1305C" w:rsidRPr="00D1305C" w:rsidRDefault="004D2EA6"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sidR="00845A36">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fldChar w:fldCharType="end"/>
            </w:r>
          </w:p>
        </w:tc>
        <w:tc>
          <w:tcPr>
            <w:tcW w:w="1638" w:type="dxa"/>
            <w:shd w:val="clear" w:color="auto" w:fill="auto"/>
          </w:tcPr>
          <w:p w14:paraId="4DE145A7" w14:textId="77777777" w:rsidR="00D1305C" w:rsidRDefault="004D2EA6"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23-Jan-2024</w:t>
            </w:r>
          </w:p>
          <w:p w14:paraId="06FE84E5" w14:textId="77777777" w:rsidR="00F71906" w:rsidRDefault="00F71906" w:rsidP="00F71906">
            <w:pPr>
              <w:rPr>
                <w:rFonts w:eastAsia="Times New Roman" w:cstheme="minorHAnsi"/>
                <w:bCs/>
                <w:color w:val="000000" w:themeColor="text1"/>
                <w:kern w:val="36"/>
                <w:lang w:eastAsia="en-GB"/>
              </w:rPr>
            </w:pPr>
          </w:p>
          <w:p w14:paraId="2AE04B60" w14:textId="3FD817FC" w:rsidR="00F71906" w:rsidRPr="00F71906" w:rsidRDefault="00F71906" w:rsidP="00F71906">
            <w:pPr>
              <w:rPr>
                <w:rFonts w:eastAsia="Times New Roman" w:cstheme="minorHAnsi"/>
                <w:lang w:eastAsia="en-GB"/>
              </w:rPr>
            </w:pPr>
            <w:r>
              <w:rPr>
                <w:rFonts w:eastAsia="Times New Roman" w:cstheme="minorHAnsi"/>
                <w:lang w:eastAsia="en-GB"/>
              </w:rPr>
              <w:t>08.02.2024</w:t>
            </w: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59E"/>
    <w:multiLevelType w:val="hybridMultilevel"/>
    <w:tmpl w:val="C95E9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55318B"/>
    <w:multiLevelType w:val="hybridMultilevel"/>
    <w:tmpl w:val="BA2EFF00"/>
    <w:lvl w:ilvl="0" w:tplc="5BCABDEA">
      <w:start w:val="1"/>
      <w:numFmt w:val="decimal"/>
      <w:lvlText w:val="%1."/>
      <w:lvlJc w:val="left"/>
      <w:pPr>
        <w:ind w:left="720" w:hanging="360"/>
      </w:pPr>
    </w:lvl>
    <w:lvl w:ilvl="1" w:tplc="339AF6D0" w:tentative="1">
      <w:start w:val="1"/>
      <w:numFmt w:val="lowerLetter"/>
      <w:lvlText w:val="%2."/>
      <w:lvlJc w:val="left"/>
      <w:pPr>
        <w:ind w:left="1440" w:hanging="360"/>
      </w:pPr>
    </w:lvl>
    <w:lvl w:ilvl="2" w:tplc="3D74F6B0" w:tentative="1">
      <w:start w:val="1"/>
      <w:numFmt w:val="lowerRoman"/>
      <w:lvlText w:val="%3."/>
      <w:lvlJc w:val="right"/>
      <w:pPr>
        <w:ind w:left="2160" w:hanging="180"/>
      </w:pPr>
    </w:lvl>
    <w:lvl w:ilvl="3" w:tplc="7366A346" w:tentative="1">
      <w:start w:val="1"/>
      <w:numFmt w:val="decimal"/>
      <w:lvlText w:val="%4."/>
      <w:lvlJc w:val="left"/>
      <w:pPr>
        <w:ind w:left="2880" w:hanging="360"/>
      </w:pPr>
    </w:lvl>
    <w:lvl w:ilvl="4" w:tplc="34CCC388" w:tentative="1">
      <w:start w:val="1"/>
      <w:numFmt w:val="lowerLetter"/>
      <w:lvlText w:val="%5."/>
      <w:lvlJc w:val="left"/>
      <w:pPr>
        <w:ind w:left="3600" w:hanging="360"/>
      </w:pPr>
    </w:lvl>
    <w:lvl w:ilvl="5" w:tplc="B3AEAD30" w:tentative="1">
      <w:start w:val="1"/>
      <w:numFmt w:val="lowerRoman"/>
      <w:lvlText w:val="%6."/>
      <w:lvlJc w:val="right"/>
      <w:pPr>
        <w:ind w:left="4320" w:hanging="180"/>
      </w:pPr>
    </w:lvl>
    <w:lvl w:ilvl="6" w:tplc="AEB28C06" w:tentative="1">
      <w:start w:val="1"/>
      <w:numFmt w:val="decimal"/>
      <w:lvlText w:val="%7."/>
      <w:lvlJc w:val="left"/>
      <w:pPr>
        <w:ind w:left="5040" w:hanging="360"/>
      </w:pPr>
    </w:lvl>
    <w:lvl w:ilvl="7" w:tplc="4D84373A" w:tentative="1">
      <w:start w:val="1"/>
      <w:numFmt w:val="lowerLetter"/>
      <w:lvlText w:val="%8."/>
      <w:lvlJc w:val="left"/>
      <w:pPr>
        <w:ind w:left="5760" w:hanging="360"/>
      </w:pPr>
    </w:lvl>
    <w:lvl w:ilvl="8" w:tplc="29EED2D6" w:tentative="1">
      <w:start w:val="1"/>
      <w:numFmt w:val="lowerRoman"/>
      <w:lvlText w:val="%9."/>
      <w:lvlJc w:val="right"/>
      <w:pPr>
        <w:ind w:left="6480" w:hanging="180"/>
      </w:pPr>
    </w:lvl>
  </w:abstractNum>
  <w:abstractNum w:abstractNumId="2" w15:restartNumberingAfterBreak="0">
    <w:nsid w:val="29222989"/>
    <w:multiLevelType w:val="hybridMultilevel"/>
    <w:tmpl w:val="53160BA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D682B4B"/>
    <w:multiLevelType w:val="hybridMultilevel"/>
    <w:tmpl w:val="27D0AF2A"/>
    <w:lvl w:ilvl="0" w:tplc="3D66BCF4">
      <w:start w:val="1"/>
      <w:numFmt w:val="bullet"/>
      <w:lvlText w:val=""/>
      <w:lvlJc w:val="left"/>
      <w:pPr>
        <w:ind w:left="990" w:hanging="360"/>
      </w:pPr>
      <w:rPr>
        <w:rFonts w:ascii="Symbol" w:hAnsi="Symbol" w:hint="default"/>
      </w:rPr>
    </w:lvl>
    <w:lvl w:ilvl="1" w:tplc="53B810AC" w:tentative="1">
      <w:start w:val="1"/>
      <w:numFmt w:val="bullet"/>
      <w:lvlText w:val="o"/>
      <w:lvlJc w:val="left"/>
      <w:pPr>
        <w:ind w:left="1710" w:hanging="360"/>
      </w:pPr>
      <w:rPr>
        <w:rFonts w:ascii="Courier New" w:hAnsi="Courier New" w:cs="Courier New" w:hint="default"/>
      </w:rPr>
    </w:lvl>
    <w:lvl w:ilvl="2" w:tplc="07EEA1E8" w:tentative="1">
      <w:start w:val="1"/>
      <w:numFmt w:val="bullet"/>
      <w:lvlText w:val=""/>
      <w:lvlJc w:val="left"/>
      <w:pPr>
        <w:ind w:left="2430" w:hanging="360"/>
      </w:pPr>
      <w:rPr>
        <w:rFonts w:ascii="Wingdings" w:hAnsi="Wingdings" w:hint="default"/>
      </w:rPr>
    </w:lvl>
    <w:lvl w:ilvl="3" w:tplc="E8E8AE98" w:tentative="1">
      <w:start w:val="1"/>
      <w:numFmt w:val="bullet"/>
      <w:lvlText w:val=""/>
      <w:lvlJc w:val="left"/>
      <w:pPr>
        <w:ind w:left="3150" w:hanging="360"/>
      </w:pPr>
      <w:rPr>
        <w:rFonts w:ascii="Symbol" w:hAnsi="Symbol" w:hint="default"/>
      </w:rPr>
    </w:lvl>
    <w:lvl w:ilvl="4" w:tplc="927E6208" w:tentative="1">
      <w:start w:val="1"/>
      <w:numFmt w:val="bullet"/>
      <w:lvlText w:val="o"/>
      <w:lvlJc w:val="left"/>
      <w:pPr>
        <w:ind w:left="3870" w:hanging="360"/>
      </w:pPr>
      <w:rPr>
        <w:rFonts w:ascii="Courier New" w:hAnsi="Courier New" w:cs="Courier New" w:hint="default"/>
      </w:rPr>
    </w:lvl>
    <w:lvl w:ilvl="5" w:tplc="56FC5C1A" w:tentative="1">
      <w:start w:val="1"/>
      <w:numFmt w:val="bullet"/>
      <w:lvlText w:val=""/>
      <w:lvlJc w:val="left"/>
      <w:pPr>
        <w:ind w:left="4590" w:hanging="360"/>
      </w:pPr>
      <w:rPr>
        <w:rFonts w:ascii="Wingdings" w:hAnsi="Wingdings" w:hint="default"/>
      </w:rPr>
    </w:lvl>
    <w:lvl w:ilvl="6" w:tplc="C6622690" w:tentative="1">
      <w:start w:val="1"/>
      <w:numFmt w:val="bullet"/>
      <w:lvlText w:val=""/>
      <w:lvlJc w:val="left"/>
      <w:pPr>
        <w:ind w:left="5310" w:hanging="360"/>
      </w:pPr>
      <w:rPr>
        <w:rFonts w:ascii="Symbol" w:hAnsi="Symbol" w:hint="default"/>
      </w:rPr>
    </w:lvl>
    <w:lvl w:ilvl="7" w:tplc="EA623376" w:tentative="1">
      <w:start w:val="1"/>
      <w:numFmt w:val="bullet"/>
      <w:lvlText w:val="o"/>
      <w:lvlJc w:val="left"/>
      <w:pPr>
        <w:ind w:left="6030" w:hanging="360"/>
      </w:pPr>
      <w:rPr>
        <w:rFonts w:ascii="Courier New" w:hAnsi="Courier New" w:cs="Courier New" w:hint="default"/>
      </w:rPr>
    </w:lvl>
    <w:lvl w:ilvl="8" w:tplc="B9E4D01A" w:tentative="1">
      <w:start w:val="1"/>
      <w:numFmt w:val="bullet"/>
      <w:lvlText w:val=""/>
      <w:lvlJc w:val="left"/>
      <w:pPr>
        <w:ind w:left="6750" w:hanging="360"/>
      </w:pPr>
      <w:rPr>
        <w:rFonts w:ascii="Wingdings" w:hAnsi="Wingdings" w:hint="default"/>
      </w:rPr>
    </w:lvl>
  </w:abstractNum>
  <w:abstractNum w:abstractNumId="4" w15:restartNumberingAfterBreak="0">
    <w:nsid w:val="30741F19"/>
    <w:multiLevelType w:val="hybridMultilevel"/>
    <w:tmpl w:val="57443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9B2A40"/>
    <w:multiLevelType w:val="hybridMultilevel"/>
    <w:tmpl w:val="026654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3184EC4"/>
    <w:multiLevelType w:val="hybridMultilevel"/>
    <w:tmpl w:val="EDA0B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0324D4"/>
    <w:multiLevelType w:val="hybridMultilevel"/>
    <w:tmpl w:val="0CE2B5E6"/>
    <w:lvl w:ilvl="0" w:tplc="227652C6">
      <w:start w:val="1"/>
      <w:numFmt w:val="bullet"/>
      <w:lvlText w:val=""/>
      <w:lvlJc w:val="left"/>
      <w:pPr>
        <w:ind w:left="720" w:hanging="360"/>
      </w:pPr>
      <w:rPr>
        <w:rFonts w:ascii="Symbol" w:hAnsi="Symbol" w:hint="default"/>
        <w:color w:val="7FC444"/>
      </w:rPr>
    </w:lvl>
    <w:lvl w:ilvl="1" w:tplc="F92EE484" w:tentative="1">
      <w:start w:val="1"/>
      <w:numFmt w:val="bullet"/>
      <w:lvlText w:val="o"/>
      <w:lvlJc w:val="left"/>
      <w:pPr>
        <w:ind w:left="1800" w:hanging="360"/>
      </w:pPr>
      <w:rPr>
        <w:rFonts w:ascii="Courier New" w:hAnsi="Courier New" w:cs="Courier New" w:hint="default"/>
      </w:rPr>
    </w:lvl>
    <w:lvl w:ilvl="2" w:tplc="323A3DE8" w:tentative="1">
      <w:start w:val="1"/>
      <w:numFmt w:val="bullet"/>
      <w:lvlText w:val=""/>
      <w:lvlJc w:val="left"/>
      <w:pPr>
        <w:ind w:left="2520" w:hanging="360"/>
      </w:pPr>
      <w:rPr>
        <w:rFonts w:ascii="Wingdings" w:hAnsi="Wingdings" w:hint="default"/>
      </w:rPr>
    </w:lvl>
    <w:lvl w:ilvl="3" w:tplc="781C32BA" w:tentative="1">
      <w:start w:val="1"/>
      <w:numFmt w:val="bullet"/>
      <w:lvlText w:val=""/>
      <w:lvlJc w:val="left"/>
      <w:pPr>
        <w:ind w:left="3240" w:hanging="360"/>
      </w:pPr>
      <w:rPr>
        <w:rFonts w:ascii="Symbol" w:hAnsi="Symbol" w:hint="default"/>
      </w:rPr>
    </w:lvl>
    <w:lvl w:ilvl="4" w:tplc="741E0F1C" w:tentative="1">
      <w:start w:val="1"/>
      <w:numFmt w:val="bullet"/>
      <w:lvlText w:val="o"/>
      <w:lvlJc w:val="left"/>
      <w:pPr>
        <w:ind w:left="3960" w:hanging="360"/>
      </w:pPr>
      <w:rPr>
        <w:rFonts w:ascii="Courier New" w:hAnsi="Courier New" w:cs="Courier New" w:hint="default"/>
      </w:rPr>
    </w:lvl>
    <w:lvl w:ilvl="5" w:tplc="E7DA45FC" w:tentative="1">
      <w:start w:val="1"/>
      <w:numFmt w:val="bullet"/>
      <w:lvlText w:val=""/>
      <w:lvlJc w:val="left"/>
      <w:pPr>
        <w:ind w:left="4680" w:hanging="360"/>
      </w:pPr>
      <w:rPr>
        <w:rFonts w:ascii="Wingdings" w:hAnsi="Wingdings" w:hint="default"/>
      </w:rPr>
    </w:lvl>
    <w:lvl w:ilvl="6" w:tplc="62B651FC" w:tentative="1">
      <w:start w:val="1"/>
      <w:numFmt w:val="bullet"/>
      <w:lvlText w:val=""/>
      <w:lvlJc w:val="left"/>
      <w:pPr>
        <w:ind w:left="5400" w:hanging="360"/>
      </w:pPr>
      <w:rPr>
        <w:rFonts w:ascii="Symbol" w:hAnsi="Symbol" w:hint="default"/>
      </w:rPr>
    </w:lvl>
    <w:lvl w:ilvl="7" w:tplc="949CAE5E" w:tentative="1">
      <w:start w:val="1"/>
      <w:numFmt w:val="bullet"/>
      <w:lvlText w:val="o"/>
      <w:lvlJc w:val="left"/>
      <w:pPr>
        <w:ind w:left="6120" w:hanging="360"/>
      </w:pPr>
      <w:rPr>
        <w:rFonts w:ascii="Courier New" w:hAnsi="Courier New" w:cs="Courier New" w:hint="default"/>
      </w:rPr>
    </w:lvl>
    <w:lvl w:ilvl="8" w:tplc="DE7265A8" w:tentative="1">
      <w:start w:val="1"/>
      <w:numFmt w:val="bullet"/>
      <w:lvlText w:val=""/>
      <w:lvlJc w:val="left"/>
      <w:pPr>
        <w:ind w:left="6840" w:hanging="360"/>
      </w:pPr>
      <w:rPr>
        <w:rFonts w:ascii="Wingdings" w:hAnsi="Wingdings" w:hint="default"/>
      </w:rPr>
    </w:lvl>
  </w:abstractNum>
  <w:abstractNum w:abstractNumId="8" w15:restartNumberingAfterBreak="0">
    <w:nsid w:val="45435624"/>
    <w:multiLevelType w:val="multilevel"/>
    <w:tmpl w:val="1A0CB70C"/>
    <w:lvl w:ilvl="0">
      <w:start w:val="5"/>
      <w:numFmt w:val="decimal"/>
      <w:lvlText w:val="%1."/>
      <w:lvlJc w:val="left"/>
      <w:pPr>
        <w:ind w:left="360"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CC44717"/>
    <w:multiLevelType w:val="hybridMultilevel"/>
    <w:tmpl w:val="063CA8B0"/>
    <w:lvl w:ilvl="0" w:tplc="28186470">
      <w:start w:val="1"/>
      <w:numFmt w:val="decimal"/>
      <w:lvlText w:val="%1."/>
      <w:lvlJc w:val="left"/>
      <w:pPr>
        <w:ind w:left="720" w:hanging="360"/>
      </w:pPr>
    </w:lvl>
    <w:lvl w:ilvl="1" w:tplc="817A9714" w:tentative="1">
      <w:start w:val="1"/>
      <w:numFmt w:val="lowerLetter"/>
      <w:lvlText w:val="%2."/>
      <w:lvlJc w:val="left"/>
      <w:pPr>
        <w:ind w:left="1440" w:hanging="360"/>
      </w:pPr>
    </w:lvl>
    <w:lvl w:ilvl="2" w:tplc="815AC904" w:tentative="1">
      <w:start w:val="1"/>
      <w:numFmt w:val="lowerRoman"/>
      <w:lvlText w:val="%3."/>
      <w:lvlJc w:val="right"/>
      <w:pPr>
        <w:ind w:left="2160" w:hanging="180"/>
      </w:pPr>
    </w:lvl>
    <w:lvl w:ilvl="3" w:tplc="46326E58" w:tentative="1">
      <w:start w:val="1"/>
      <w:numFmt w:val="decimal"/>
      <w:lvlText w:val="%4."/>
      <w:lvlJc w:val="left"/>
      <w:pPr>
        <w:ind w:left="2880" w:hanging="360"/>
      </w:pPr>
    </w:lvl>
    <w:lvl w:ilvl="4" w:tplc="9B3E3538" w:tentative="1">
      <w:start w:val="1"/>
      <w:numFmt w:val="lowerLetter"/>
      <w:lvlText w:val="%5."/>
      <w:lvlJc w:val="left"/>
      <w:pPr>
        <w:ind w:left="3600" w:hanging="360"/>
      </w:pPr>
    </w:lvl>
    <w:lvl w:ilvl="5" w:tplc="22BCF914" w:tentative="1">
      <w:start w:val="1"/>
      <w:numFmt w:val="lowerRoman"/>
      <w:lvlText w:val="%6."/>
      <w:lvlJc w:val="right"/>
      <w:pPr>
        <w:ind w:left="4320" w:hanging="180"/>
      </w:pPr>
    </w:lvl>
    <w:lvl w:ilvl="6" w:tplc="0D5E4E86" w:tentative="1">
      <w:start w:val="1"/>
      <w:numFmt w:val="decimal"/>
      <w:lvlText w:val="%7."/>
      <w:lvlJc w:val="left"/>
      <w:pPr>
        <w:ind w:left="5040" w:hanging="360"/>
      </w:pPr>
    </w:lvl>
    <w:lvl w:ilvl="7" w:tplc="D2CEC89A" w:tentative="1">
      <w:start w:val="1"/>
      <w:numFmt w:val="lowerLetter"/>
      <w:lvlText w:val="%8."/>
      <w:lvlJc w:val="left"/>
      <w:pPr>
        <w:ind w:left="5760" w:hanging="360"/>
      </w:pPr>
    </w:lvl>
    <w:lvl w:ilvl="8" w:tplc="56C2D41A" w:tentative="1">
      <w:start w:val="1"/>
      <w:numFmt w:val="lowerRoman"/>
      <w:lvlText w:val="%9."/>
      <w:lvlJc w:val="right"/>
      <w:pPr>
        <w:ind w:left="6480" w:hanging="180"/>
      </w:pPr>
    </w:lvl>
  </w:abstractNum>
  <w:abstractNum w:abstractNumId="10" w15:restartNumberingAfterBreak="0">
    <w:nsid w:val="52513CFB"/>
    <w:multiLevelType w:val="hybridMultilevel"/>
    <w:tmpl w:val="495A6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C42E2"/>
    <w:multiLevelType w:val="hybridMultilevel"/>
    <w:tmpl w:val="37ECB20A"/>
    <w:lvl w:ilvl="0" w:tplc="F54E646A">
      <w:start w:val="1"/>
      <w:numFmt w:val="bullet"/>
      <w:lvlText w:val=""/>
      <w:lvlJc w:val="left"/>
      <w:pPr>
        <w:ind w:left="720" w:hanging="360"/>
      </w:pPr>
      <w:rPr>
        <w:rFonts w:ascii="Symbol" w:hAnsi="Symbol" w:hint="default"/>
        <w:color w:val="auto"/>
      </w:rPr>
    </w:lvl>
    <w:lvl w:ilvl="1" w:tplc="8B747AC6" w:tentative="1">
      <w:start w:val="1"/>
      <w:numFmt w:val="bullet"/>
      <w:lvlText w:val="o"/>
      <w:lvlJc w:val="left"/>
      <w:pPr>
        <w:ind w:left="1440" w:hanging="360"/>
      </w:pPr>
      <w:rPr>
        <w:rFonts w:ascii="Courier New" w:hAnsi="Courier New" w:cs="Courier New" w:hint="default"/>
      </w:rPr>
    </w:lvl>
    <w:lvl w:ilvl="2" w:tplc="8BD033BC" w:tentative="1">
      <w:start w:val="1"/>
      <w:numFmt w:val="bullet"/>
      <w:lvlText w:val=""/>
      <w:lvlJc w:val="left"/>
      <w:pPr>
        <w:ind w:left="2160" w:hanging="360"/>
      </w:pPr>
      <w:rPr>
        <w:rFonts w:ascii="Wingdings" w:hAnsi="Wingdings" w:hint="default"/>
      </w:rPr>
    </w:lvl>
    <w:lvl w:ilvl="3" w:tplc="F9909506" w:tentative="1">
      <w:start w:val="1"/>
      <w:numFmt w:val="bullet"/>
      <w:lvlText w:val=""/>
      <w:lvlJc w:val="left"/>
      <w:pPr>
        <w:ind w:left="2880" w:hanging="360"/>
      </w:pPr>
      <w:rPr>
        <w:rFonts w:ascii="Symbol" w:hAnsi="Symbol" w:hint="default"/>
      </w:rPr>
    </w:lvl>
    <w:lvl w:ilvl="4" w:tplc="91DE9188" w:tentative="1">
      <w:start w:val="1"/>
      <w:numFmt w:val="bullet"/>
      <w:lvlText w:val="o"/>
      <w:lvlJc w:val="left"/>
      <w:pPr>
        <w:ind w:left="3600" w:hanging="360"/>
      </w:pPr>
      <w:rPr>
        <w:rFonts w:ascii="Courier New" w:hAnsi="Courier New" w:cs="Courier New" w:hint="default"/>
      </w:rPr>
    </w:lvl>
    <w:lvl w:ilvl="5" w:tplc="882A2212" w:tentative="1">
      <w:start w:val="1"/>
      <w:numFmt w:val="bullet"/>
      <w:lvlText w:val=""/>
      <w:lvlJc w:val="left"/>
      <w:pPr>
        <w:ind w:left="4320" w:hanging="360"/>
      </w:pPr>
      <w:rPr>
        <w:rFonts w:ascii="Wingdings" w:hAnsi="Wingdings" w:hint="default"/>
      </w:rPr>
    </w:lvl>
    <w:lvl w:ilvl="6" w:tplc="8CDEBBDC" w:tentative="1">
      <w:start w:val="1"/>
      <w:numFmt w:val="bullet"/>
      <w:lvlText w:val=""/>
      <w:lvlJc w:val="left"/>
      <w:pPr>
        <w:ind w:left="5040" w:hanging="360"/>
      </w:pPr>
      <w:rPr>
        <w:rFonts w:ascii="Symbol" w:hAnsi="Symbol" w:hint="default"/>
      </w:rPr>
    </w:lvl>
    <w:lvl w:ilvl="7" w:tplc="75C45C20" w:tentative="1">
      <w:start w:val="1"/>
      <w:numFmt w:val="bullet"/>
      <w:lvlText w:val="o"/>
      <w:lvlJc w:val="left"/>
      <w:pPr>
        <w:ind w:left="5760" w:hanging="360"/>
      </w:pPr>
      <w:rPr>
        <w:rFonts w:ascii="Courier New" w:hAnsi="Courier New" w:cs="Courier New" w:hint="default"/>
      </w:rPr>
    </w:lvl>
    <w:lvl w:ilvl="8" w:tplc="A44C7D80" w:tentative="1">
      <w:start w:val="1"/>
      <w:numFmt w:val="bullet"/>
      <w:lvlText w:val=""/>
      <w:lvlJc w:val="left"/>
      <w:pPr>
        <w:ind w:left="6480" w:hanging="360"/>
      </w:pPr>
      <w:rPr>
        <w:rFonts w:ascii="Wingdings" w:hAnsi="Wingdings" w:hint="default"/>
      </w:rPr>
    </w:lvl>
  </w:abstractNum>
  <w:abstractNum w:abstractNumId="12" w15:restartNumberingAfterBreak="0">
    <w:nsid w:val="5C4D2CDE"/>
    <w:multiLevelType w:val="hybridMultilevel"/>
    <w:tmpl w:val="5B6827D0"/>
    <w:lvl w:ilvl="0" w:tplc="C8D62C2E">
      <w:start w:val="1"/>
      <w:numFmt w:val="bullet"/>
      <w:lvlText w:val=""/>
      <w:lvlJc w:val="left"/>
      <w:pPr>
        <w:ind w:left="720" w:hanging="360"/>
      </w:pPr>
      <w:rPr>
        <w:rFonts w:ascii="Symbol" w:hAnsi="Symbol" w:hint="default"/>
        <w:color w:val="7FC444"/>
      </w:rPr>
    </w:lvl>
    <w:lvl w:ilvl="1" w:tplc="6DA02CD0" w:tentative="1">
      <w:start w:val="1"/>
      <w:numFmt w:val="bullet"/>
      <w:lvlText w:val="o"/>
      <w:lvlJc w:val="left"/>
      <w:pPr>
        <w:ind w:left="1440" w:hanging="360"/>
      </w:pPr>
      <w:rPr>
        <w:rFonts w:ascii="Courier New" w:hAnsi="Courier New" w:cs="Courier New" w:hint="default"/>
      </w:rPr>
    </w:lvl>
    <w:lvl w:ilvl="2" w:tplc="6FE40F42" w:tentative="1">
      <w:start w:val="1"/>
      <w:numFmt w:val="bullet"/>
      <w:lvlText w:val=""/>
      <w:lvlJc w:val="left"/>
      <w:pPr>
        <w:ind w:left="2160" w:hanging="360"/>
      </w:pPr>
      <w:rPr>
        <w:rFonts w:ascii="Wingdings" w:hAnsi="Wingdings" w:hint="default"/>
      </w:rPr>
    </w:lvl>
    <w:lvl w:ilvl="3" w:tplc="C1B85C58" w:tentative="1">
      <w:start w:val="1"/>
      <w:numFmt w:val="bullet"/>
      <w:lvlText w:val=""/>
      <w:lvlJc w:val="left"/>
      <w:pPr>
        <w:ind w:left="2880" w:hanging="360"/>
      </w:pPr>
      <w:rPr>
        <w:rFonts w:ascii="Symbol" w:hAnsi="Symbol" w:hint="default"/>
      </w:rPr>
    </w:lvl>
    <w:lvl w:ilvl="4" w:tplc="10D2A426" w:tentative="1">
      <w:start w:val="1"/>
      <w:numFmt w:val="bullet"/>
      <w:lvlText w:val="o"/>
      <w:lvlJc w:val="left"/>
      <w:pPr>
        <w:ind w:left="3600" w:hanging="360"/>
      </w:pPr>
      <w:rPr>
        <w:rFonts w:ascii="Courier New" w:hAnsi="Courier New" w:cs="Courier New" w:hint="default"/>
      </w:rPr>
    </w:lvl>
    <w:lvl w:ilvl="5" w:tplc="C4523A06" w:tentative="1">
      <w:start w:val="1"/>
      <w:numFmt w:val="bullet"/>
      <w:lvlText w:val=""/>
      <w:lvlJc w:val="left"/>
      <w:pPr>
        <w:ind w:left="4320" w:hanging="360"/>
      </w:pPr>
      <w:rPr>
        <w:rFonts w:ascii="Wingdings" w:hAnsi="Wingdings" w:hint="default"/>
      </w:rPr>
    </w:lvl>
    <w:lvl w:ilvl="6" w:tplc="5254B83E" w:tentative="1">
      <w:start w:val="1"/>
      <w:numFmt w:val="bullet"/>
      <w:lvlText w:val=""/>
      <w:lvlJc w:val="left"/>
      <w:pPr>
        <w:ind w:left="5040" w:hanging="360"/>
      </w:pPr>
      <w:rPr>
        <w:rFonts w:ascii="Symbol" w:hAnsi="Symbol" w:hint="default"/>
      </w:rPr>
    </w:lvl>
    <w:lvl w:ilvl="7" w:tplc="A47E09A4" w:tentative="1">
      <w:start w:val="1"/>
      <w:numFmt w:val="bullet"/>
      <w:lvlText w:val="o"/>
      <w:lvlJc w:val="left"/>
      <w:pPr>
        <w:ind w:left="5760" w:hanging="360"/>
      </w:pPr>
      <w:rPr>
        <w:rFonts w:ascii="Courier New" w:hAnsi="Courier New" w:cs="Courier New" w:hint="default"/>
      </w:rPr>
    </w:lvl>
    <w:lvl w:ilvl="8" w:tplc="5A784484" w:tentative="1">
      <w:start w:val="1"/>
      <w:numFmt w:val="bullet"/>
      <w:lvlText w:val=""/>
      <w:lvlJc w:val="left"/>
      <w:pPr>
        <w:ind w:left="6480" w:hanging="360"/>
      </w:pPr>
      <w:rPr>
        <w:rFonts w:ascii="Wingdings" w:hAnsi="Wingdings" w:hint="default"/>
      </w:rPr>
    </w:lvl>
  </w:abstractNum>
  <w:abstractNum w:abstractNumId="13" w15:restartNumberingAfterBreak="0">
    <w:nsid w:val="5CE03EA3"/>
    <w:multiLevelType w:val="hybridMultilevel"/>
    <w:tmpl w:val="7F0C5260"/>
    <w:lvl w:ilvl="0" w:tplc="CECC16D4">
      <w:start w:val="1"/>
      <w:numFmt w:val="decimal"/>
      <w:lvlText w:val="%1."/>
      <w:lvlJc w:val="left"/>
      <w:pPr>
        <w:ind w:left="720" w:hanging="360"/>
      </w:pPr>
    </w:lvl>
    <w:lvl w:ilvl="1" w:tplc="3B2EAF04" w:tentative="1">
      <w:start w:val="1"/>
      <w:numFmt w:val="lowerLetter"/>
      <w:lvlText w:val="%2."/>
      <w:lvlJc w:val="left"/>
      <w:pPr>
        <w:ind w:left="1440" w:hanging="360"/>
      </w:pPr>
    </w:lvl>
    <w:lvl w:ilvl="2" w:tplc="CCC2ED6E" w:tentative="1">
      <w:start w:val="1"/>
      <w:numFmt w:val="lowerRoman"/>
      <w:lvlText w:val="%3."/>
      <w:lvlJc w:val="right"/>
      <w:pPr>
        <w:ind w:left="2160" w:hanging="180"/>
      </w:pPr>
    </w:lvl>
    <w:lvl w:ilvl="3" w:tplc="4FB2D872" w:tentative="1">
      <w:start w:val="1"/>
      <w:numFmt w:val="decimal"/>
      <w:lvlText w:val="%4."/>
      <w:lvlJc w:val="left"/>
      <w:pPr>
        <w:ind w:left="2880" w:hanging="360"/>
      </w:pPr>
    </w:lvl>
    <w:lvl w:ilvl="4" w:tplc="1174EACA" w:tentative="1">
      <w:start w:val="1"/>
      <w:numFmt w:val="lowerLetter"/>
      <w:lvlText w:val="%5."/>
      <w:lvlJc w:val="left"/>
      <w:pPr>
        <w:ind w:left="3600" w:hanging="360"/>
      </w:pPr>
    </w:lvl>
    <w:lvl w:ilvl="5" w:tplc="0C84947E" w:tentative="1">
      <w:start w:val="1"/>
      <w:numFmt w:val="lowerRoman"/>
      <w:lvlText w:val="%6."/>
      <w:lvlJc w:val="right"/>
      <w:pPr>
        <w:ind w:left="4320" w:hanging="180"/>
      </w:pPr>
    </w:lvl>
    <w:lvl w:ilvl="6" w:tplc="210AE1AE" w:tentative="1">
      <w:start w:val="1"/>
      <w:numFmt w:val="decimal"/>
      <w:lvlText w:val="%7."/>
      <w:lvlJc w:val="left"/>
      <w:pPr>
        <w:ind w:left="5040" w:hanging="360"/>
      </w:pPr>
    </w:lvl>
    <w:lvl w:ilvl="7" w:tplc="4ED2626E" w:tentative="1">
      <w:start w:val="1"/>
      <w:numFmt w:val="lowerLetter"/>
      <w:lvlText w:val="%8."/>
      <w:lvlJc w:val="left"/>
      <w:pPr>
        <w:ind w:left="5760" w:hanging="360"/>
      </w:pPr>
    </w:lvl>
    <w:lvl w:ilvl="8" w:tplc="91DC1392" w:tentative="1">
      <w:start w:val="1"/>
      <w:numFmt w:val="lowerRoman"/>
      <w:lvlText w:val="%9."/>
      <w:lvlJc w:val="right"/>
      <w:pPr>
        <w:ind w:left="6480" w:hanging="180"/>
      </w:pPr>
    </w:lvl>
  </w:abstractNum>
  <w:abstractNum w:abstractNumId="14"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2D3736D"/>
    <w:multiLevelType w:val="hybridMultilevel"/>
    <w:tmpl w:val="6B8AF8D6"/>
    <w:lvl w:ilvl="0" w:tplc="08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687524EC"/>
    <w:multiLevelType w:val="hybridMultilevel"/>
    <w:tmpl w:val="C83AE318"/>
    <w:lvl w:ilvl="0" w:tplc="5122E864">
      <w:start w:val="1"/>
      <w:numFmt w:val="bullet"/>
      <w:lvlText w:val=""/>
      <w:lvlJc w:val="left"/>
      <w:pPr>
        <w:ind w:left="720" w:hanging="360"/>
      </w:pPr>
      <w:rPr>
        <w:rFonts w:ascii="Symbol" w:hAnsi="Symbol" w:hint="default"/>
        <w:color w:val="7FC444"/>
      </w:rPr>
    </w:lvl>
    <w:lvl w:ilvl="1" w:tplc="D9BCB76A" w:tentative="1">
      <w:start w:val="1"/>
      <w:numFmt w:val="bullet"/>
      <w:lvlText w:val="o"/>
      <w:lvlJc w:val="left"/>
      <w:pPr>
        <w:ind w:left="1440" w:hanging="360"/>
      </w:pPr>
      <w:rPr>
        <w:rFonts w:ascii="Courier New" w:hAnsi="Courier New" w:cs="Courier New" w:hint="default"/>
      </w:rPr>
    </w:lvl>
    <w:lvl w:ilvl="2" w:tplc="0BC85428" w:tentative="1">
      <w:start w:val="1"/>
      <w:numFmt w:val="bullet"/>
      <w:lvlText w:val=""/>
      <w:lvlJc w:val="left"/>
      <w:pPr>
        <w:ind w:left="2160" w:hanging="360"/>
      </w:pPr>
      <w:rPr>
        <w:rFonts w:ascii="Wingdings" w:hAnsi="Wingdings" w:hint="default"/>
      </w:rPr>
    </w:lvl>
    <w:lvl w:ilvl="3" w:tplc="F154A224" w:tentative="1">
      <w:start w:val="1"/>
      <w:numFmt w:val="bullet"/>
      <w:lvlText w:val=""/>
      <w:lvlJc w:val="left"/>
      <w:pPr>
        <w:ind w:left="2880" w:hanging="360"/>
      </w:pPr>
      <w:rPr>
        <w:rFonts w:ascii="Symbol" w:hAnsi="Symbol" w:hint="default"/>
      </w:rPr>
    </w:lvl>
    <w:lvl w:ilvl="4" w:tplc="E3222D0C" w:tentative="1">
      <w:start w:val="1"/>
      <w:numFmt w:val="bullet"/>
      <w:lvlText w:val="o"/>
      <w:lvlJc w:val="left"/>
      <w:pPr>
        <w:ind w:left="3600" w:hanging="360"/>
      </w:pPr>
      <w:rPr>
        <w:rFonts w:ascii="Courier New" w:hAnsi="Courier New" w:cs="Courier New" w:hint="default"/>
      </w:rPr>
    </w:lvl>
    <w:lvl w:ilvl="5" w:tplc="B1B61DA0" w:tentative="1">
      <w:start w:val="1"/>
      <w:numFmt w:val="bullet"/>
      <w:lvlText w:val=""/>
      <w:lvlJc w:val="left"/>
      <w:pPr>
        <w:ind w:left="4320" w:hanging="360"/>
      </w:pPr>
      <w:rPr>
        <w:rFonts w:ascii="Wingdings" w:hAnsi="Wingdings" w:hint="default"/>
      </w:rPr>
    </w:lvl>
    <w:lvl w:ilvl="6" w:tplc="F0E643D8" w:tentative="1">
      <w:start w:val="1"/>
      <w:numFmt w:val="bullet"/>
      <w:lvlText w:val=""/>
      <w:lvlJc w:val="left"/>
      <w:pPr>
        <w:ind w:left="5040" w:hanging="360"/>
      </w:pPr>
      <w:rPr>
        <w:rFonts w:ascii="Symbol" w:hAnsi="Symbol" w:hint="default"/>
      </w:rPr>
    </w:lvl>
    <w:lvl w:ilvl="7" w:tplc="1B3E9468" w:tentative="1">
      <w:start w:val="1"/>
      <w:numFmt w:val="bullet"/>
      <w:lvlText w:val="o"/>
      <w:lvlJc w:val="left"/>
      <w:pPr>
        <w:ind w:left="5760" w:hanging="360"/>
      </w:pPr>
      <w:rPr>
        <w:rFonts w:ascii="Courier New" w:hAnsi="Courier New" w:cs="Courier New" w:hint="default"/>
      </w:rPr>
    </w:lvl>
    <w:lvl w:ilvl="8" w:tplc="0630B546" w:tentative="1">
      <w:start w:val="1"/>
      <w:numFmt w:val="bullet"/>
      <w:lvlText w:val=""/>
      <w:lvlJc w:val="left"/>
      <w:pPr>
        <w:ind w:left="6480" w:hanging="360"/>
      </w:pPr>
      <w:rPr>
        <w:rFonts w:ascii="Wingdings" w:hAnsi="Wingdings" w:hint="default"/>
      </w:rPr>
    </w:lvl>
  </w:abstractNum>
  <w:abstractNum w:abstractNumId="17" w15:restartNumberingAfterBreak="0">
    <w:nsid w:val="6E981066"/>
    <w:multiLevelType w:val="hybridMultilevel"/>
    <w:tmpl w:val="29A03522"/>
    <w:lvl w:ilvl="0" w:tplc="B7DE437E">
      <w:start w:val="1"/>
      <w:numFmt w:val="bullet"/>
      <w:lvlText w:val=""/>
      <w:lvlJc w:val="left"/>
      <w:pPr>
        <w:ind w:left="720" w:hanging="360"/>
      </w:pPr>
      <w:rPr>
        <w:rFonts w:ascii="Symbol" w:hAnsi="Symbol" w:hint="default"/>
        <w:color w:val="7FC444"/>
      </w:rPr>
    </w:lvl>
    <w:lvl w:ilvl="1" w:tplc="B6460B3E" w:tentative="1">
      <w:start w:val="1"/>
      <w:numFmt w:val="bullet"/>
      <w:lvlText w:val="o"/>
      <w:lvlJc w:val="left"/>
      <w:pPr>
        <w:ind w:left="1440" w:hanging="360"/>
      </w:pPr>
      <w:rPr>
        <w:rFonts w:ascii="Courier New" w:hAnsi="Courier New" w:cs="Courier New" w:hint="default"/>
      </w:rPr>
    </w:lvl>
    <w:lvl w:ilvl="2" w:tplc="B4D02E4C" w:tentative="1">
      <w:start w:val="1"/>
      <w:numFmt w:val="bullet"/>
      <w:lvlText w:val=""/>
      <w:lvlJc w:val="left"/>
      <w:pPr>
        <w:ind w:left="2160" w:hanging="360"/>
      </w:pPr>
      <w:rPr>
        <w:rFonts w:ascii="Wingdings" w:hAnsi="Wingdings" w:hint="default"/>
      </w:rPr>
    </w:lvl>
    <w:lvl w:ilvl="3" w:tplc="841A4D3A" w:tentative="1">
      <w:start w:val="1"/>
      <w:numFmt w:val="bullet"/>
      <w:lvlText w:val=""/>
      <w:lvlJc w:val="left"/>
      <w:pPr>
        <w:ind w:left="2880" w:hanging="360"/>
      </w:pPr>
      <w:rPr>
        <w:rFonts w:ascii="Symbol" w:hAnsi="Symbol" w:hint="default"/>
      </w:rPr>
    </w:lvl>
    <w:lvl w:ilvl="4" w:tplc="02C0DA70" w:tentative="1">
      <w:start w:val="1"/>
      <w:numFmt w:val="bullet"/>
      <w:lvlText w:val="o"/>
      <w:lvlJc w:val="left"/>
      <w:pPr>
        <w:ind w:left="3600" w:hanging="360"/>
      </w:pPr>
      <w:rPr>
        <w:rFonts w:ascii="Courier New" w:hAnsi="Courier New" w:cs="Courier New" w:hint="default"/>
      </w:rPr>
    </w:lvl>
    <w:lvl w:ilvl="5" w:tplc="8026BD8E" w:tentative="1">
      <w:start w:val="1"/>
      <w:numFmt w:val="bullet"/>
      <w:lvlText w:val=""/>
      <w:lvlJc w:val="left"/>
      <w:pPr>
        <w:ind w:left="4320" w:hanging="360"/>
      </w:pPr>
      <w:rPr>
        <w:rFonts w:ascii="Wingdings" w:hAnsi="Wingdings" w:hint="default"/>
      </w:rPr>
    </w:lvl>
    <w:lvl w:ilvl="6" w:tplc="8C087E44" w:tentative="1">
      <w:start w:val="1"/>
      <w:numFmt w:val="bullet"/>
      <w:lvlText w:val=""/>
      <w:lvlJc w:val="left"/>
      <w:pPr>
        <w:ind w:left="5040" w:hanging="360"/>
      </w:pPr>
      <w:rPr>
        <w:rFonts w:ascii="Symbol" w:hAnsi="Symbol" w:hint="default"/>
      </w:rPr>
    </w:lvl>
    <w:lvl w:ilvl="7" w:tplc="6D22152E" w:tentative="1">
      <w:start w:val="1"/>
      <w:numFmt w:val="bullet"/>
      <w:lvlText w:val="o"/>
      <w:lvlJc w:val="left"/>
      <w:pPr>
        <w:ind w:left="5760" w:hanging="360"/>
      </w:pPr>
      <w:rPr>
        <w:rFonts w:ascii="Courier New" w:hAnsi="Courier New" w:cs="Courier New" w:hint="default"/>
      </w:rPr>
    </w:lvl>
    <w:lvl w:ilvl="8" w:tplc="EAE4C6E6" w:tentative="1">
      <w:start w:val="1"/>
      <w:numFmt w:val="bullet"/>
      <w:lvlText w:val=""/>
      <w:lvlJc w:val="left"/>
      <w:pPr>
        <w:ind w:left="6480" w:hanging="360"/>
      </w:pPr>
      <w:rPr>
        <w:rFonts w:ascii="Wingdings" w:hAnsi="Wingdings" w:hint="default"/>
      </w:rPr>
    </w:lvl>
  </w:abstractNum>
  <w:abstractNum w:abstractNumId="18" w15:restartNumberingAfterBreak="0">
    <w:nsid w:val="79B849BF"/>
    <w:multiLevelType w:val="multilevel"/>
    <w:tmpl w:val="D7DA6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20" w15:restartNumberingAfterBreak="0">
    <w:nsid w:val="7C6872A1"/>
    <w:multiLevelType w:val="hybridMultilevel"/>
    <w:tmpl w:val="700E460A"/>
    <w:lvl w:ilvl="0" w:tplc="D070EAF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2F2633DC" w:tentative="1">
      <w:start w:val="1"/>
      <w:numFmt w:val="bullet"/>
      <w:lvlText w:val="o"/>
      <w:lvlJc w:val="left"/>
      <w:pPr>
        <w:tabs>
          <w:tab w:val="num" w:pos="1440"/>
        </w:tabs>
        <w:ind w:left="1440" w:hanging="360"/>
      </w:pPr>
      <w:rPr>
        <w:rFonts w:ascii="Courier New" w:hAnsi="Courier New" w:hint="default"/>
      </w:rPr>
    </w:lvl>
    <w:lvl w:ilvl="2" w:tplc="E3DC1C30" w:tentative="1">
      <w:start w:val="1"/>
      <w:numFmt w:val="bullet"/>
      <w:lvlText w:val=""/>
      <w:lvlJc w:val="left"/>
      <w:pPr>
        <w:tabs>
          <w:tab w:val="num" w:pos="2160"/>
        </w:tabs>
        <w:ind w:left="2160" w:hanging="360"/>
      </w:pPr>
      <w:rPr>
        <w:rFonts w:ascii="Wingdings" w:hAnsi="Wingdings" w:hint="default"/>
      </w:rPr>
    </w:lvl>
    <w:lvl w:ilvl="3" w:tplc="CA687C4E" w:tentative="1">
      <w:start w:val="1"/>
      <w:numFmt w:val="bullet"/>
      <w:lvlText w:val=""/>
      <w:lvlJc w:val="left"/>
      <w:pPr>
        <w:tabs>
          <w:tab w:val="num" w:pos="2880"/>
        </w:tabs>
        <w:ind w:left="2880" w:hanging="360"/>
      </w:pPr>
      <w:rPr>
        <w:rFonts w:ascii="Symbol" w:hAnsi="Symbol" w:hint="default"/>
      </w:rPr>
    </w:lvl>
    <w:lvl w:ilvl="4" w:tplc="3A0EA14C" w:tentative="1">
      <w:start w:val="1"/>
      <w:numFmt w:val="bullet"/>
      <w:lvlText w:val="o"/>
      <w:lvlJc w:val="left"/>
      <w:pPr>
        <w:tabs>
          <w:tab w:val="num" w:pos="3600"/>
        </w:tabs>
        <w:ind w:left="3600" w:hanging="360"/>
      </w:pPr>
      <w:rPr>
        <w:rFonts w:ascii="Courier New" w:hAnsi="Courier New" w:hint="default"/>
      </w:rPr>
    </w:lvl>
    <w:lvl w:ilvl="5" w:tplc="879A8944" w:tentative="1">
      <w:start w:val="1"/>
      <w:numFmt w:val="bullet"/>
      <w:lvlText w:val=""/>
      <w:lvlJc w:val="left"/>
      <w:pPr>
        <w:tabs>
          <w:tab w:val="num" w:pos="4320"/>
        </w:tabs>
        <w:ind w:left="4320" w:hanging="360"/>
      </w:pPr>
      <w:rPr>
        <w:rFonts w:ascii="Wingdings" w:hAnsi="Wingdings" w:hint="default"/>
      </w:rPr>
    </w:lvl>
    <w:lvl w:ilvl="6" w:tplc="7CCC299C" w:tentative="1">
      <w:start w:val="1"/>
      <w:numFmt w:val="bullet"/>
      <w:lvlText w:val=""/>
      <w:lvlJc w:val="left"/>
      <w:pPr>
        <w:tabs>
          <w:tab w:val="num" w:pos="5040"/>
        </w:tabs>
        <w:ind w:left="5040" w:hanging="360"/>
      </w:pPr>
      <w:rPr>
        <w:rFonts w:ascii="Symbol" w:hAnsi="Symbol" w:hint="default"/>
      </w:rPr>
    </w:lvl>
    <w:lvl w:ilvl="7" w:tplc="92A8AFBC" w:tentative="1">
      <w:start w:val="1"/>
      <w:numFmt w:val="bullet"/>
      <w:lvlText w:val="o"/>
      <w:lvlJc w:val="left"/>
      <w:pPr>
        <w:tabs>
          <w:tab w:val="num" w:pos="5760"/>
        </w:tabs>
        <w:ind w:left="5760" w:hanging="360"/>
      </w:pPr>
      <w:rPr>
        <w:rFonts w:ascii="Courier New" w:hAnsi="Courier New" w:hint="default"/>
      </w:rPr>
    </w:lvl>
    <w:lvl w:ilvl="8" w:tplc="62AA6A1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54799031">
    <w:abstractNumId w:val="20"/>
  </w:num>
  <w:num w:numId="2" w16cid:durableId="1939287988">
    <w:abstractNumId w:val="17"/>
  </w:num>
  <w:num w:numId="3" w16cid:durableId="348024951">
    <w:abstractNumId w:val="12"/>
  </w:num>
  <w:num w:numId="4" w16cid:durableId="1794402200">
    <w:abstractNumId w:val="16"/>
  </w:num>
  <w:num w:numId="5" w16cid:durableId="1676760092">
    <w:abstractNumId w:val="11"/>
  </w:num>
  <w:num w:numId="6" w16cid:durableId="1941135901">
    <w:abstractNumId w:val="3"/>
  </w:num>
  <w:num w:numId="7" w16cid:durableId="1131243940">
    <w:abstractNumId w:val="7"/>
  </w:num>
  <w:num w:numId="8" w16cid:durableId="1293902020">
    <w:abstractNumId w:val="14"/>
  </w:num>
  <w:num w:numId="9" w16cid:durableId="1174803896">
    <w:abstractNumId w:val="21"/>
  </w:num>
  <w:num w:numId="10" w16cid:durableId="607157558">
    <w:abstractNumId w:val="19"/>
  </w:num>
  <w:num w:numId="11" w16cid:durableId="2036928007">
    <w:abstractNumId w:val="8"/>
  </w:num>
  <w:num w:numId="12" w16cid:durableId="620692052">
    <w:abstractNumId w:val="9"/>
  </w:num>
  <w:num w:numId="13" w16cid:durableId="1048839787">
    <w:abstractNumId w:val="1"/>
  </w:num>
  <w:num w:numId="14" w16cid:durableId="110170761">
    <w:abstractNumId w:val="13"/>
  </w:num>
  <w:num w:numId="15" w16cid:durableId="180408034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5568712">
    <w:abstractNumId w:val="18"/>
  </w:num>
  <w:num w:numId="17" w16cid:durableId="670180962">
    <w:abstractNumId w:val="4"/>
  </w:num>
  <w:num w:numId="18" w16cid:durableId="275914036">
    <w:abstractNumId w:val="0"/>
  </w:num>
  <w:num w:numId="19" w16cid:durableId="1099177112">
    <w:abstractNumId w:val="6"/>
  </w:num>
  <w:num w:numId="20" w16cid:durableId="914700893">
    <w:abstractNumId w:val="5"/>
  </w:num>
  <w:num w:numId="21" w16cid:durableId="926226961">
    <w:abstractNumId w:val="2"/>
  </w:num>
  <w:num w:numId="22" w16cid:durableId="2024550046">
    <w:abstractNumId w:val="10"/>
  </w:num>
  <w:num w:numId="23" w16cid:durableId="19804525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3AED"/>
    <w:rsid w:val="00053669"/>
    <w:rsid w:val="0006776F"/>
    <w:rsid w:val="00080228"/>
    <w:rsid w:val="0009071E"/>
    <w:rsid w:val="000A672E"/>
    <w:rsid w:val="000F75CB"/>
    <w:rsid w:val="00114B97"/>
    <w:rsid w:val="00126587"/>
    <w:rsid w:val="00134677"/>
    <w:rsid w:val="00153954"/>
    <w:rsid w:val="001576AD"/>
    <w:rsid w:val="00163649"/>
    <w:rsid w:val="0017209E"/>
    <w:rsid w:val="00180674"/>
    <w:rsid w:val="001C05CB"/>
    <w:rsid w:val="001C1B02"/>
    <w:rsid w:val="001C6ED7"/>
    <w:rsid w:val="001D18F1"/>
    <w:rsid w:val="001D3B9C"/>
    <w:rsid w:val="001F7768"/>
    <w:rsid w:val="00210AEC"/>
    <w:rsid w:val="00216636"/>
    <w:rsid w:val="002238C2"/>
    <w:rsid w:val="00224B8E"/>
    <w:rsid w:val="002351C9"/>
    <w:rsid w:val="00255524"/>
    <w:rsid w:val="0025620C"/>
    <w:rsid w:val="0027163E"/>
    <w:rsid w:val="00273876"/>
    <w:rsid w:val="002769FD"/>
    <w:rsid w:val="00282A51"/>
    <w:rsid w:val="00284855"/>
    <w:rsid w:val="002931D1"/>
    <w:rsid w:val="00294625"/>
    <w:rsid w:val="002A0009"/>
    <w:rsid w:val="002A07BA"/>
    <w:rsid w:val="002A5BA0"/>
    <w:rsid w:val="002C4DAB"/>
    <w:rsid w:val="002E377B"/>
    <w:rsid w:val="002F06A9"/>
    <w:rsid w:val="002F1805"/>
    <w:rsid w:val="002F4B61"/>
    <w:rsid w:val="0031180E"/>
    <w:rsid w:val="003232E3"/>
    <w:rsid w:val="0032368D"/>
    <w:rsid w:val="00332A7D"/>
    <w:rsid w:val="00351879"/>
    <w:rsid w:val="00367901"/>
    <w:rsid w:val="00380522"/>
    <w:rsid w:val="003806F9"/>
    <w:rsid w:val="003A4005"/>
    <w:rsid w:val="003A78F8"/>
    <w:rsid w:val="003B02F5"/>
    <w:rsid w:val="003E3722"/>
    <w:rsid w:val="003E3AB0"/>
    <w:rsid w:val="003F64E2"/>
    <w:rsid w:val="003F68E4"/>
    <w:rsid w:val="00402D18"/>
    <w:rsid w:val="0041722B"/>
    <w:rsid w:val="004429D6"/>
    <w:rsid w:val="00457821"/>
    <w:rsid w:val="00465B5C"/>
    <w:rsid w:val="00470831"/>
    <w:rsid w:val="004758E2"/>
    <w:rsid w:val="00483CC4"/>
    <w:rsid w:val="00490A28"/>
    <w:rsid w:val="0049437A"/>
    <w:rsid w:val="004D2EA6"/>
    <w:rsid w:val="00510168"/>
    <w:rsid w:val="00513BEA"/>
    <w:rsid w:val="00522E7D"/>
    <w:rsid w:val="00542184"/>
    <w:rsid w:val="00555CB5"/>
    <w:rsid w:val="005629DD"/>
    <w:rsid w:val="00576DC5"/>
    <w:rsid w:val="00584159"/>
    <w:rsid w:val="005C0259"/>
    <w:rsid w:val="005C5465"/>
    <w:rsid w:val="005E7794"/>
    <w:rsid w:val="00612E38"/>
    <w:rsid w:val="00613634"/>
    <w:rsid w:val="00613EC1"/>
    <w:rsid w:val="00617525"/>
    <w:rsid w:val="00627A92"/>
    <w:rsid w:val="00641609"/>
    <w:rsid w:val="00643408"/>
    <w:rsid w:val="0064593C"/>
    <w:rsid w:val="00681448"/>
    <w:rsid w:val="00683C0B"/>
    <w:rsid w:val="006A7267"/>
    <w:rsid w:val="006B1BD9"/>
    <w:rsid w:val="006B1C4D"/>
    <w:rsid w:val="006B62C4"/>
    <w:rsid w:val="006B7CC3"/>
    <w:rsid w:val="006D56BC"/>
    <w:rsid w:val="006F1B33"/>
    <w:rsid w:val="006F27C3"/>
    <w:rsid w:val="006F27D9"/>
    <w:rsid w:val="00706128"/>
    <w:rsid w:val="00715AAF"/>
    <w:rsid w:val="007351C0"/>
    <w:rsid w:val="0073542D"/>
    <w:rsid w:val="00737971"/>
    <w:rsid w:val="00737C37"/>
    <w:rsid w:val="00742586"/>
    <w:rsid w:val="007637E9"/>
    <w:rsid w:val="00767C01"/>
    <w:rsid w:val="007710E6"/>
    <w:rsid w:val="00774BC4"/>
    <w:rsid w:val="00782DF2"/>
    <w:rsid w:val="0078549D"/>
    <w:rsid w:val="007948D6"/>
    <w:rsid w:val="007C7E3E"/>
    <w:rsid w:val="007D0272"/>
    <w:rsid w:val="007D469A"/>
    <w:rsid w:val="007E4570"/>
    <w:rsid w:val="007E4749"/>
    <w:rsid w:val="00802E59"/>
    <w:rsid w:val="00804F02"/>
    <w:rsid w:val="008119EE"/>
    <w:rsid w:val="00812062"/>
    <w:rsid w:val="008346F1"/>
    <w:rsid w:val="00845312"/>
    <w:rsid w:val="00845A36"/>
    <w:rsid w:val="00853F7F"/>
    <w:rsid w:val="0085583E"/>
    <w:rsid w:val="00857BD9"/>
    <w:rsid w:val="00883AC9"/>
    <w:rsid w:val="00895290"/>
    <w:rsid w:val="008A4C2F"/>
    <w:rsid w:val="008B2D37"/>
    <w:rsid w:val="008C37E1"/>
    <w:rsid w:val="008D541D"/>
    <w:rsid w:val="008E29D3"/>
    <w:rsid w:val="008F13BA"/>
    <w:rsid w:val="009157BD"/>
    <w:rsid w:val="009176E8"/>
    <w:rsid w:val="009202CF"/>
    <w:rsid w:val="009472CD"/>
    <w:rsid w:val="009476FC"/>
    <w:rsid w:val="00947881"/>
    <w:rsid w:val="00957931"/>
    <w:rsid w:val="0097369E"/>
    <w:rsid w:val="00974AB3"/>
    <w:rsid w:val="00983FEA"/>
    <w:rsid w:val="00985E30"/>
    <w:rsid w:val="009A018E"/>
    <w:rsid w:val="009A27C1"/>
    <w:rsid w:val="009A31AE"/>
    <w:rsid w:val="009A514D"/>
    <w:rsid w:val="009C1604"/>
    <w:rsid w:val="009D625C"/>
    <w:rsid w:val="009F4BAC"/>
    <w:rsid w:val="009F5BEE"/>
    <w:rsid w:val="00A0164F"/>
    <w:rsid w:val="00A11146"/>
    <w:rsid w:val="00A1467F"/>
    <w:rsid w:val="00A17ABA"/>
    <w:rsid w:val="00A356DB"/>
    <w:rsid w:val="00A47DF8"/>
    <w:rsid w:val="00A53EAF"/>
    <w:rsid w:val="00A62CFE"/>
    <w:rsid w:val="00A67766"/>
    <w:rsid w:val="00A72598"/>
    <w:rsid w:val="00A851F7"/>
    <w:rsid w:val="00A95452"/>
    <w:rsid w:val="00A964C7"/>
    <w:rsid w:val="00AE34BD"/>
    <w:rsid w:val="00B0500A"/>
    <w:rsid w:val="00B379E7"/>
    <w:rsid w:val="00B85F3A"/>
    <w:rsid w:val="00B8772E"/>
    <w:rsid w:val="00B90333"/>
    <w:rsid w:val="00B91557"/>
    <w:rsid w:val="00B95697"/>
    <w:rsid w:val="00BA2420"/>
    <w:rsid w:val="00BC25D4"/>
    <w:rsid w:val="00BC3CC9"/>
    <w:rsid w:val="00BE1920"/>
    <w:rsid w:val="00BE5BEB"/>
    <w:rsid w:val="00BE77AB"/>
    <w:rsid w:val="00C03CA4"/>
    <w:rsid w:val="00C3676B"/>
    <w:rsid w:val="00C92DCF"/>
    <w:rsid w:val="00C9520B"/>
    <w:rsid w:val="00CA253A"/>
    <w:rsid w:val="00CA6FAA"/>
    <w:rsid w:val="00CC18F9"/>
    <w:rsid w:val="00CC4817"/>
    <w:rsid w:val="00CD4005"/>
    <w:rsid w:val="00CE3ED1"/>
    <w:rsid w:val="00CF622A"/>
    <w:rsid w:val="00D0369E"/>
    <w:rsid w:val="00D11FF8"/>
    <w:rsid w:val="00D12BDD"/>
    <w:rsid w:val="00D1305C"/>
    <w:rsid w:val="00D4431F"/>
    <w:rsid w:val="00D628DC"/>
    <w:rsid w:val="00D64AB5"/>
    <w:rsid w:val="00DD24A8"/>
    <w:rsid w:val="00DF2D9E"/>
    <w:rsid w:val="00DF59D9"/>
    <w:rsid w:val="00DF7476"/>
    <w:rsid w:val="00E03E65"/>
    <w:rsid w:val="00E05F7E"/>
    <w:rsid w:val="00E06F2E"/>
    <w:rsid w:val="00E10BF8"/>
    <w:rsid w:val="00E316EB"/>
    <w:rsid w:val="00E36349"/>
    <w:rsid w:val="00E53D73"/>
    <w:rsid w:val="00E709F7"/>
    <w:rsid w:val="00E75510"/>
    <w:rsid w:val="00E811D7"/>
    <w:rsid w:val="00E87F45"/>
    <w:rsid w:val="00E963B8"/>
    <w:rsid w:val="00EC0007"/>
    <w:rsid w:val="00ED3333"/>
    <w:rsid w:val="00ED4FF1"/>
    <w:rsid w:val="00EF0D35"/>
    <w:rsid w:val="00EF254B"/>
    <w:rsid w:val="00F048F9"/>
    <w:rsid w:val="00F26C7F"/>
    <w:rsid w:val="00F37B00"/>
    <w:rsid w:val="00F60644"/>
    <w:rsid w:val="00F71906"/>
    <w:rsid w:val="00F929C3"/>
    <w:rsid w:val="00F967A2"/>
    <w:rsid w:val="00F97987"/>
    <w:rsid w:val="00FA725C"/>
    <w:rsid w:val="00FB2F2E"/>
    <w:rsid w:val="00FB3074"/>
    <w:rsid w:val="00FB725C"/>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Revision">
    <w:name w:val="Revision"/>
    <w:hidden/>
    <w:uiPriority w:val="99"/>
    <w:semiHidden/>
    <w:rsid w:val="00CC18F9"/>
    <w:pPr>
      <w:spacing w:after="0" w:line="240" w:lineRule="auto"/>
    </w:pPr>
  </w:style>
  <w:style w:type="character" w:customStyle="1" w:styleId="ListParagraphChar">
    <w:name w:val="List Paragraph Char"/>
    <w:link w:val="ListParagraph"/>
    <w:uiPriority w:val="34"/>
    <w:locked/>
    <w:rsid w:val="009F4BAC"/>
  </w:style>
  <w:style w:type="character" w:customStyle="1" w:styleId="ui-provider">
    <w:name w:val="ui-provider"/>
    <w:basedOn w:val="DefaultParagraphFont"/>
    <w:rsid w:val="00470831"/>
  </w:style>
  <w:style w:type="character" w:styleId="Hyperlink">
    <w:name w:val="Hyperlink"/>
    <w:basedOn w:val="DefaultParagraphFont"/>
    <w:uiPriority w:val="99"/>
    <w:unhideWhenUsed/>
    <w:locked/>
    <w:rsid w:val="00F71906"/>
    <w:rPr>
      <w:color w:val="0000FF" w:themeColor="hyperlink"/>
      <w:u w:val="single"/>
    </w:rPr>
  </w:style>
  <w:style w:type="character" w:styleId="UnresolvedMention">
    <w:name w:val="Unresolved Mention"/>
    <w:basedOn w:val="DefaultParagraphFont"/>
    <w:uiPriority w:val="99"/>
    <w:locked/>
    <w:rsid w:val="00F71906"/>
    <w:rPr>
      <w:color w:val="605E5C"/>
      <w:shd w:val="clear" w:color="auto" w:fill="E1DFDD"/>
    </w:rPr>
  </w:style>
  <w:style w:type="paragraph" w:customStyle="1" w:styleId="Default">
    <w:name w:val="Default"/>
    <w:rsid w:val="00294625"/>
    <w:pPr>
      <w:autoSpaceDE w:val="0"/>
      <w:autoSpaceDN w:val="0"/>
      <w:adjustRightInd w:val="0"/>
      <w:spacing w:after="0" w:line="240" w:lineRule="auto"/>
    </w:pPr>
    <w:rPr>
      <w:rFonts w:ascii="Arial" w:hAnsi="Arial" w:cs="Arial"/>
      <w:color w:val="000000"/>
      <w:sz w:val="24"/>
      <w:szCs w:val="24"/>
    </w:rPr>
  </w:style>
  <w:style w:type="paragraph" w:customStyle="1" w:styleId="pf0">
    <w:name w:val="pf0"/>
    <w:basedOn w:val="Normal"/>
    <w:rsid w:val="0029462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85236">
      <w:bodyDiv w:val="1"/>
      <w:marLeft w:val="0"/>
      <w:marRight w:val="0"/>
      <w:marTop w:val="0"/>
      <w:marBottom w:val="0"/>
      <w:divBdr>
        <w:top w:val="none" w:sz="0" w:space="0" w:color="auto"/>
        <w:left w:val="none" w:sz="0" w:space="0" w:color="auto"/>
        <w:bottom w:val="none" w:sz="0" w:space="0" w:color="auto"/>
        <w:right w:val="none" w:sz="0" w:space="0" w:color="auto"/>
      </w:divBdr>
    </w:div>
    <w:div w:id="1043024443">
      <w:bodyDiv w:val="1"/>
      <w:marLeft w:val="0"/>
      <w:marRight w:val="0"/>
      <w:marTop w:val="0"/>
      <w:marBottom w:val="0"/>
      <w:divBdr>
        <w:top w:val="none" w:sz="0" w:space="0" w:color="auto"/>
        <w:left w:val="none" w:sz="0" w:space="0" w:color="auto"/>
        <w:bottom w:val="none" w:sz="0" w:space="0" w:color="auto"/>
        <w:right w:val="none" w:sz="0" w:space="0" w:color="auto"/>
      </w:divBdr>
    </w:div>
    <w:div w:id="1461682174">
      <w:bodyDiv w:val="1"/>
      <w:marLeft w:val="0"/>
      <w:marRight w:val="0"/>
      <w:marTop w:val="0"/>
      <w:marBottom w:val="0"/>
      <w:divBdr>
        <w:top w:val="none" w:sz="0" w:space="0" w:color="auto"/>
        <w:left w:val="none" w:sz="0" w:space="0" w:color="auto"/>
        <w:bottom w:val="none" w:sz="0" w:space="0" w:color="auto"/>
        <w:right w:val="none" w:sz="0" w:space="0" w:color="auto"/>
      </w:divBdr>
    </w:div>
    <w:div w:id="1583753614">
      <w:bodyDiv w:val="1"/>
      <w:marLeft w:val="0"/>
      <w:marRight w:val="0"/>
      <w:marTop w:val="0"/>
      <w:marBottom w:val="0"/>
      <w:divBdr>
        <w:top w:val="none" w:sz="0" w:space="0" w:color="auto"/>
        <w:left w:val="none" w:sz="0" w:space="0" w:color="auto"/>
        <w:bottom w:val="none" w:sz="0" w:space="0" w:color="auto"/>
        <w:right w:val="none" w:sz="0" w:space="0" w:color="auto"/>
      </w:divBdr>
    </w:div>
    <w:div w:id="19040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Jean.Taylor@southribbl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12</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167</cp:revision>
  <cp:lastPrinted>2014-03-21T13:56:00Z</cp:lastPrinted>
  <dcterms:created xsi:type="dcterms:W3CDTF">2023-02-10T11:37:00Z</dcterms:created>
  <dcterms:modified xsi:type="dcterms:W3CDTF">2024-02-12T17:13:00Z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Corporate, Performance and Budget Scrutiny Committee</vt:lpwstr>
  </property>
  <property fmtid="{D5CDD505-2E9C-101B-9397-08002B2CF9AE}" pid="3" name="IssueTitle">
    <vt:lpwstr>Finance and Public Protection Portfolio Update</vt:lpwstr>
  </property>
  <property fmtid="{D5CDD505-2E9C-101B-9397-08002B2CF9AE}" pid="4" name="LeadDirector">
    <vt:lpwstr>Director of Finance and Section 151 Officer</vt:lpwstr>
  </property>
  <property fmtid="{D5CDD505-2E9C-101B-9397-08002B2CF9AE}" pid="5" name="LeadMember">
    <vt:lpwstr/>
  </property>
  <property fmtid="{D5CDD505-2E9C-101B-9397-08002B2CF9AE}" pid="6" name="LeadOfficer">
    <vt:lpwstr>Louise Mattinson</vt:lpwstr>
  </property>
  <property fmtid="{D5CDD505-2E9C-101B-9397-08002B2CF9AE}" pid="7" name="LeadOfficerEmail">
    <vt:lpwstr>louise.mattinson@southribble.gov.uk</vt:lpwstr>
  </property>
  <property fmtid="{D5CDD505-2E9C-101B-9397-08002B2CF9AE}" pid="8" name="LeadOfficerPost">
    <vt:lpwstr>Director of Finance and Section 151 Officer</vt:lpwstr>
  </property>
  <property fmtid="{D5CDD505-2E9C-101B-9397-08002B2CF9AE}" pid="9" name="LeadOfficerTel">
    <vt:lpwstr/>
  </property>
  <property fmtid="{D5CDD505-2E9C-101B-9397-08002B2CF9AE}" pid="10" name="MeetingDate">
    <vt:lpwstr>Monday, 19 February 2024</vt:lpwstr>
  </property>
  <property fmtid="{D5CDD505-2E9C-101B-9397-08002B2CF9AE}" pid="11" name="MSIP_Label_f96679a5-570c-40a6-a557-668bc9231a44_ActionId">
    <vt:lpwstr>6a8c6c8f-aa1d-419b-81c0-b7dbf4ec3ab8</vt:lpwstr>
  </property>
  <property fmtid="{D5CDD505-2E9C-101B-9397-08002B2CF9AE}" pid="12" name="MSIP_Label_f96679a5-570c-40a6-a557-668bc9231a44_ContentBits">
    <vt:lpwstr>0</vt:lpwstr>
  </property>
  <property fmtid="{D5CDD505-2E9C-101B-9397-08002B2CF9AE}" pid="13" name="MSIP_Label_f96679a5-570c-40a6-a557-668bc9231a44_Enabled">
    <vt:lpwstr>true</vt:lpwstr>
  </property>
  <property fmtid="{D5CDD505-2E9C-101B-9397-08002B2CF9AE}" pid="14" name="MSIP_Label_f96679a5-570c-40a6-a557-668bc9231a44_Method">
    <vt:lpwstr>Standard</vt:lpwstr>
  </property>
  <property fmtid="{D5CDD505-2E9C-101B-9397-08002B2CF9AE}" pid="15" name="MSIP_Label_f96679a5-570c-40a6-a557-668bc9231a44_Name">
    <vt:lpwstr>Internal</vt:lpwstr>
  </property>
  <property fmtid="{D5CDD505-2E9C-101B-9397-08002B2CF9AE}" pid="16" name="MSIP_Label_f96679a5-570c-40a6-a557-668bc9231a44_SetDate">
    <vt:lpwstr>2024-01-23T15:12:12Z</vt:lpwstr>
  </property>
  <property fmtid="{D5CDD505-2E9C-101B-9397-08002B2CF9AE}" pid="17" name="MSIP_Label_f96679a5-570c-40a6-a557-668bc9231a44_SiteId">
    <vt:lpwstr>20f96ace-1eb4-4e2b-bd81-aabea267ccfb</vt:lpwstr>
  </property>
</Properties>
</file>